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1E1D" w14:textId="77777777" w:rsidR="00E14D8B" w:rsidRDefault="00000000">
      <w:pPr>
        <w:jc w:val="center"/>
      </w:pPr>
      <w:r>
        <w:rPr>
          <w:rFonts w:ascii="Calibri" w:hAnsi="Calibri"/>
          <w:b/>
          <w:color w:val="1B2040"/>
          <w:sz w:val="48"/>
        </w:rPr>
        <w:t>GUIDE PÉDAGOGIQUE DU FORMATEUR</w:t>
      </w:r>
      <w:r>
        <w:rPr>
          <w:rFonts w:ascii="Calibri" w:hAnsi="Calibri"/>
          <w:b/>
          <w:color w:val="1B2040"/>
          <w:sz w:val="48"/>
        </w:rPr>
        <w:br/>
      </w:r>
      <w:r>
        <w:rPr>
          <w:rFonts w:ascii="Calibri" w:hAnsi="Calibri"/>
          <w:b/>
          <w:color w:val="006666"/>
          <w:sz w:val="32"/>
        </w:rPr>
        <w:t>Pesticides en France &amp; Biochimie Enzymatique</w:t>
      </w:r>
      <w:r>
        <w:rPr>
          <w:rFonts w:ascii="Calibri" w:hAnsi="Calibri"/>
          <w:b/>
          <w:color w:val="006666"/>
          <w:sz w:val="32"/>
        </w:rPr>
        <w:br/>
      </w:r>
      <w:r>
        <w:rPr>
          <w:rFonts w:ascii="Calibri" w:hAnsi="Calibri"/>
          <w:i/>
          <w:color w:val="5A6065"/>
        </w:rPr>
        <w:t>Support complet d'animation, cinétique d'inhibition, bio-essais et script oral (25 diapositives)</w:t>
      </w:r>
    </w:p>
    <w:p w14:paraId="1C450917" w14:textId="77777777" w:rsidR="00E14D8B" w:rsidRDefault="00E14D8B">
      <w:pPr>
        <w:spacing w:after="240"/>
      </w:pPr>
    </w:p>
    <w:p w14:paraId="1F7A86EE" w14:textId="77777777" w:rsidR="00E14D8B" w:rsidRDefault="00000000">
      <w:pPr>
        <w:pStyle w:val="Titre1"/>
      </w:pPr>
      <w:r>
        <w:rPr>
          <w:color w:val="1B2040"/>
        </w:rPr>
        <w:t>Table des Matières</w:t>
      </w:r>
    </w:p>
    <w:p w14:paraId="3A972E8E" w14:textId="77777777" w:rsidR="00E14D8B" w:rsidRDefault="00000000">
      <w:r>
        <w:fldChar w:fldCharType="begin"/>
      </w:r>
      <w:r>
        <w:instrText>TOC \o "1-3" \h \z \u</w:instrText>
      </w:r>
      <w:r>
        <w:fldChar w:fldCharType="end"/>
      </w:r>
    </w:p>
    <w:p w14:paraId="54E1CC1C" w14:textId="245A7EDE" w:rsidR="00E14D8B" w:rsidRDefault="00E14D8B"/>
    <w:p w14:paraId="756035CB" w14:textId="77777777" w:rsidR="00E14D8B" w:rsidRDefault="00000000">
      <w:pPr>
        <w:pStyle w:val="Titre1"/>
        <w:spacing w:before="360" w:after="160"/>
      </w:pPr>
      <w:r>
        <w:rPr>
          <w:rFonts w:ascii="Calibri" w:hAnsi="Calibri"/>
          <w:color w:val="1B2040"/>
        </w:rPr>
        <w:t>1. Présentation Générale et Modalités Pédagogiques</w:t>
      </w:r>
    </w:p>
    <w:p w14:paraId="06FCB4F8" w14:textId="77777777" w:rsidR="00E14D8B" w:rsidRDefault="00000000">
      <w:pPr>
        <w:spacing w:after="120"/>
      </w:pPr>
      <w:r>
        <w:rPr>
          <w:rFonts w:ascii="Calibri" w:hAnsi="Calibri"/>
          <w:color w:val="2A2F2D"/>
        </w:rPr>
        <w:t>Ce document constitue le guide de référence complet du formateur pour animer la session « Pesticides en France &amp; Biochimie Enzymatique ». Il s'appuie directement sur les données officielles du Ministère de la Transition Écologique (Commissariat général au développement durable - CGDD, Service des données et études statistiques - SDES), de Santé Publique France (étude Esteban), de l'ANSES, ainsi que sur les travaux de recherche de l'INRAE (notamment l'UMR Abeilles &amp; Environnement d'Avignon), du CNRS, de l'IFREMER et de l'INERIS.</w:t>
      </w:r>
    </w:p>
    <w:p w14:paraId="27B74A43" w14:textId="77777777" w:rsidR="00E14D8B" w:rsidRDefault="00000000">
      <w:pPr>
        <w:spacing w:after="120"/>
      </w:pPr>
      <w:r>
        <w:rPr>
          <w:rFonts w:ascii="Calibri" w:hAnsi="Calibri"/>
          <w:color w:val="2A2F2D"/>
        </w:rPr>
        <w:t>Le cours est conçu pour une durée totale de 3 heures (ou 2 modules de 1h30) et s'adresse à un public de niveau Master, ingénieurs agronomes, techniciens de santé environnementale ou étudiants en biologie/biochimie.</w:t>
      </w:r>
    </w:p>
    <w:p w14:paraId="3DA8C0B6" w14:textId="77777777" w:rsidR="00E14D8B" w:rsidRDefault="00000000">
      <w:pPr>
        <w:pStyle w:val="Titre1"/>
        <w:spacing w:before="360" w:after="160"/>
      </w:pPr>
      <w:r>
        <w:rPr>
          <w:rFonts w:ascii="Calibri" w:hAnsi="Calibri"/>
          <w:color w:val="1B2040"/>
        </w:rPr>
        <w:t>2. Partie I : Situation Macroscopique, Usages et Impacts en France (Diapositives 1 à 10)</w:t>
      </w:r>
    </w:p>
    <w:p w14:paraId="0DF5CDD4" w14:textId="77777777" w:rsidR="00E14D8B" w:rsidRDefault="00000000">
      <w:pPr>
        <w:pStyle w:val="Titre2"/>
        <w:spacing w:before="280" w:after="120"/>
      </w:pPr>
      <w:r>
        <w:rPr>
          <w:rFonts w:ascii="Calibri" w:hAnsi="Calibri"/>
          <w:color w:val="006666"/>
        </w:rPr>
        <w:t>Diapositive 1 : Titre &amp; Cadrage Institutionnel</w:t>
      </w:r>
    </w:p>
    <w:p w14:paraId="29E5EAF9" w14:textId="77777777" w:rsidR="00E14D8B" w:rsidRDefault="00000000">
      <w:pPr>
        <w:spacing w:after="120"/>
      </w:pPr>
      <w:r>
        <w:rPr>
          <w:rFonts w:ascii="Calibri" w:hAnsi="Calibri"/>
          <w:color w:val="2A2F2D"/>
        </w:rPr>
        <w:t>La formation s'ouvre sur la mise en relation des enjeux environnementaux nationaux et des mécanismes moléculaires cellulaires. L'animateur présente le périmètre des données institutionnelles mobilisées.</w:t>
      </w:r>
    </w:p>
    <w:tbl>
      <w:tblPr>
        <w:tblW w:w="0" w:type="auto"/>
        <w:jc w:val="center"/>
        <w:tblLook w:val="04A0" w:firstRow="1" w:lastRow="0" w:firstColumn="1" w:lastColumn="0" w:noHBand="0" w:noVBand="1"/>
      </w:tblPr>
      <w:tblGrid>
        <w:gridCol w:w="9330"/>
      </w:tblGrid>
      <w:tr w:rsidR="00E14D8B" w14:paraId="27BD3251" w14:textId="77777777">
        <w:trPr>
          <w:jc w:val="center"/>
        </w:trPr>
        <w:tc>
          <w:tcPr>
            <w:tcW w:w="9360" w:type="dxa"/>
            <w:tcBorders>
              <w:left w:val="single" w:sz="24" w:space="0" w:color="006666"/>
            </w:tcBorders>
            <w:shd w:val="clear" w:color="auto" w:fill="F0F4F8"/>
            <w:tcMar>
              <w:top w:w="140" w:type="dxa"/>
              <w:left w:w="200" w:type="dxa"/>
              <w:bottom w:w="140" w:type="dxa"/>
              <w:right w:w="200" w:type="dxa"/>
            </w:tcMar>
          </w:tcPr>
          <w:p w14:paraId="74742BB2" w14:textId="77777777" w:rsidR="00E14D8B" w:rsidRDefault="00000000">
            <w:pPr>
              <w:spacing w:after="80"/>
            </w:pPr>
            <w:r>
              <w:rPr>
                <w:rFonts w:ascii="Calibri" w:hAnsi="Calibri"/>
                <w:b/>
                <w:color w:val="006666"/>
                <w:sz w:val="21"/>
              </w:rPr>
              <w:t>💬 Script oral — Diapositive 1</w:t>
            </w:r>
            <w:r>
              <w:rPr>
                <w:rFonts w:ascii="Calibri" w:hAnsi="Calibri"/>
                <w:b/>
                <w:color w:val="006666"/>
                <w:sz w:val="21"/>
              </w:rPr>
              <w:br/>
            </w:r>
            <w:r>
              <w:rPr>
                <w:rFonts w:ascii="Calibri" w:hAnsi="Calibri"/>
                <w:i/>
                <w:color w:val="2A2F2D"/>
                <w:sz w:val="20"/>
              </w:rPr>
              <w:t>« Bonjour à tous. Aujourd'hui, nous allons faire le lien entre la réalité des épandages phytosanitaires à l'échelle du territoire français et les réactions biochimiques nanométriques qui se déroulent dans les sites actifs des enzymes. Notre objectif est de comprendre la chaîne de causalité complète : de la tonne de produit vendue jusqu'à l'inhibition enzymatique et ses conséquences physiologiques. »</w:t>
            </w:r>
          </w:p>
        </w:tc>
      </w:tr>
    </w:tbl>
    <w:p w14:paraId="20402193" w14:textId="77777777" w:rsidR="00E14D8B" w:rsidRDefault="00E14D8B">
      <w:pPr>
        <w:spacing w:after="120"/>
      </w:pPr>
    </w:p>
    <w:p w14:paraId="5754B734" w14:textId="77777777" w:rsidR="00E14D8B" w:rsidRDefault="00000000">
      <w:pPr>
        <w:pStyle w:val="Titre2"/>
        <w:spacing w:before="280" w:after="120"/>
      </w:pPr>
      <w:r>
        <w:rPr>
          <w:rFonts w:ascii="Calibri" w:hAnsi="Calibri"/>
          <w:color w:val="006666"/>
        </w:rPr>
        <w:lastRenderedPageBreak/>
        <w:t>Diapositive 2 : Sommaire Général</w:t>
      </w:r>
    </w:p>
    <w:p w14:paraId="68052592" w14:textId="77777777" w:rsidR="00E14D8B" w:rsidRDefault="00000000">
      <w:pPr>
        <w:spacing w:after="120"/>
      </w:pPr>
      <w:r>
        <w:rPr>
          <w:rFonts w:ascii="Calibri" w:hAnsi="Calibri"/>
          <w:color w:val="2A2F2D"/>
        </w:rPr>
        <w:t>Présentation de l'architecture en trois piliers : (I) Usages et impacts en France, (II) Biochimie enzymatique et cibles cellulaires, (III) Biocapteurs et méthodes de mesure.</w:t>
      </w:r>
    </w:p>
    <w:p w14:paraId="287F5085" w14:textId="77777777" w:rsidR="00E14D8B" w:rsidRDefault="00000000">
      <w:pPr>
        <w:pStyle w:val="Titre2"/>
        <w:spacing w:before="280" w:after="120"/>
      </w:pPr>
      <w:r>
        <w:rPr>
          <w:rFonts w:ascii="Calibri" w:hAnsi="Calibri"/>
          <w:color w:val="006666"/>
        </w:rPr>
        <w:t>Diapositive 3 : Introduction du Volet Macroscopique</w:t>
      </w:r>
    </w:p>
    <w:p w14:paraId="3740C92C" w14:textId="77777777" w:rsidR="00E14D8B" w:rsidRDefault="00000000">
      <w:pPr>
        <w:spacing w:after="120"/>
      </w:pPr>
      <w:r>
        <w:rPr>
          <w:rFonts w:ascii="Calibri" w:hAnsi="Calibri"/>
          <w:color w:val="2A2F2D"/>
        </w:rPr>
        <w:t>Présentation des sources SDES et BNV-D (Banque Nationale des Ventes de produits phytopharmaceutiques par les Distributeurs agréés).</w:t>
      </w:r>
    </w:p>
    <w:p w14:paraId="4B726211" w14:textId="77777777" w:rsidR="00E14D8B" w:rsidRDefault="00000000">
      <w:pPr>
        <w:pStyle w:val="Titre2"/>
        <w:spacing w:before="280" w:after="120"/>
      </w:pPr>
      <w:r>
        <w:rPr>
          <w:rFonts w:ascii="Calibri" w:hAnsi="Calibri"/>
          <w:color w:val="006666"/>
        </w:rPr>
        <w:t>Diapositive 4 : Volumes et Ventes Nationales (Données SDES 2023)</w:t>
      </w:r>
    </w:p>
    <w:p w14:paraId="7E291225" w14:textId="77777777" w:rsidR="00E14D8B" w:rsidRDefault="00000000">
      <w:pPr>
        <w:spacing w:after="120"/>
      </w:pPr>
      <w:r>
        <w:rPr>
          <w:rFonts w:ascii="Calibri" w:hAnsi="Calibri"/>
          <w:color w:val="2A2F2D"/>
        </w:rPr>
        <w:t>En 2023, la France a enregistré la vente de 65 600 tonnes de produits phytosanitaires. Il s'agit d'une légère baisse par rapport à 2022 (-3 %) et 2021 (-6 %), mais les volumes restent stabilisés sur un plateau élevé autour de 68 000 tonnes depuis dix ans.</w:t>
      </w:r>
    </w:p>
    <w:tbl>
      <w:tblPr>
        <w:tblW w:w="0" w:type="auto"/>
        <w:jc w:val="center"/>
        <w:tblLook w:val="04A0" w:firstRow="1" w:lastRow="0" w:firstColumn="1" w:lastColumn="0" w:noHBand="0" w:noVBand="1"/>
      </w:tblPr>
      <w:tblGrid>
        <w:gridCol w:w="9330"/>
      </w:tblGrid>
      <w:tr w:rsidR="00E14D8B" w14:paraId="7E949D8D" w14:textId="77777777">
        <w:trPr>
          <w:jc w:val="center"/>
        </w:trPr>
        <w:tc>
          <w:tcPr>
            <w:tcW w:w="9360" w:type="dxa"/>
            <w:tcBorders>
              <w:left w:val="single" w:sz="24" w:space="0" w:color="006666"/>
            </w:tcBorders>
            <w:shd w:val="clear" w:color="auto" w:fill="F0F4F8"/>
            <w:tcMar>
              <w:top w:w="140" w:type="dxa"/>
              <w:left w:w="200" w:type="dxa"/>
              <w:bottom w:w="140" w:type="dxa"/>
              <w:right w:w="200" w:type="dxa"/>
            </w:tcMar>
          </w:tcPr>
          <w:p w14:paraId="08AA0BD5" w14:textId="77777777" w:rsidR="00E14D8B" w:rsidRDefault="00000000">
            <w:pPr>
              <w:spacing w:after="80"/>
            </w:pPr>
            <w:r>
              <w:rPr>
                <w:rFonts w:ascii="Calibri" w:hAnsi="Calibri"/>
                <w:b/>
                <w:color w:val="006666"/>
                <w:sz w:val="21"/>
              </w:rPr>
              <w:t>💬 Script oral — Diapositive 4</w:t>
            </w:r>
            <w:r>
              <w:rPr>
                <w:rFonts w:ascii="Calibri" w:hAnsi="Calibri"/>
                <w:b/>
                <w:color w:val="006666"/>
                <w:sz w:val="21"/>
              </w:rPr>
              <w:br/>
            </w:r>
            <w:r>
              <w:rPr>
                <w:rFonts w:ascii="Calibri" w:hAnsi="Calibri"/>
                <w:i/>
                <w:color w:val="2A2F2D"/>
                <w:sz w:val="20"/>
              </w:rPr>
              <w:t>« 65 600 tonnes de substances actives : c'est le volume annuel écoulé en France en 2023. Malgré une légère inflexion de 3 %, les quantités oscillent toujours sur un plateau décennal. Les variations annuelles s'expliquent par les conditions météorologiques (pression fongique lors d'années humides) et par les stratégies de stockage des agriculteurs. »</w:t>
            </w:r>
          </w:p>
        </w:tc>
      </w:tr>
    </w:tbl>
    <w:p w14:paraId="266D2CC0" w14:textId="77777777" w:rsidR="00E14D8B" w:rsidRDefault="00E14D8B">
      <w:pPr>
        <w:spacing w:after="120"/>
      </w:pPr>
    </w:p>
    <w:p w14:paraId="455A8569" w14:textId="77777777" w:rsidR="00E14D8B" w:rsidRDefault="00000000">
      <w:pPr>
        <w:pStyle w:val="Titre2"/>
        <w:spacing w:before="280" w:after="120"/>
      </w:pPr>
      <w:r>
        <w:rPr>
          <w:rFonts w:ascii="Calibri" w:hAnsi="Calibri"/>
          <w:color w:val="006666"/>
        </w:rPr>
        <w:t>Diapositive 5 : Répartition par Familles Phytosanitaires</w:t>
      </w:r>
    </w:p>
    <w:p w14:paraId="3CBCE7CF" w14:textId="77777777" w:rsidR="00E14D8B" w:rsidRDefault="00000000">
      <w:pPr>
        <w:spacing w:after="120"/>
      </w:pPr>
      <w:r>
        <w:rPr>
          <w:rFonts w:ascii="Calibri" w:hAnsi="Calibri"/>
          <w:color w:val="2A2F2D"/>
        </w:rPr>
        <w:t>Les ventes se répartissent en 4 grandes familles : Herbicides (46 %), Fongicides (40 %), Insecticides (10 %), Autres/rodenticides (4 %). La prédominance des herbicides découle de leur usage intensif en grandes cultures (céréales, colza, betterave).</w:t>
      </w:r>
    </w:p>
    <w:p w14:paraId="3615C1CC" w14:textId="77777777" w:rsidR="00E14D8B" w:rsidRDefault="00000000">
      <w:pPr>
        <w:pStyle w:val="Titre2"/>
        <w:spacing w:before="280" w:after="120"/>
      </w:pPr>
      <w:r>
        <w:rPr>
          <w:rFonts w:ascii="Calibri" w:hAnsi="Calibri"/>
          <w:color w:val="006666"/>
        </w:rPr>
        <w:t>Diapositive 6 : Substances CMR vs Alternatives (Biocontrôle et Agriculture Biologique)</w:t>
      </w:r>
    </w:p>
    <w:p w14:paraId="7BB88187" w14:textId="77777777" w:rsidR="00E14D8B" w:rsidRDefault="00000000">
      <w:pPr>
        <w:spacing w:after="120"/>
      </w:pPr>
      <w:r>
        <w:rPr>
          <w:rFonts w:ascii="Calibri" w:hAnsi="Calibri"/>
          <w:color w:val="2A2F2D"/>
        </w:rPr>
        <w:t>Les substances CMR (Cancérogènes, Mutagènes, Toxiques pour la Reproduction) sont passées de 32 % des ventes en 2010 à 16 % en 2023. Les CMR de catégorie 1 (les plus dangereuses) ne représentent plus que 0,1 % suite au retrait de molécules comme le phosmet fin 2022. Les produits de biocontrôle et utilisables en agriculture biologique atteignent 36 % des ventes (constitués à 73 % de fongicides minéraux).</w:t>
      </w:r>
    </w:p>
    <w:p w14:paraId="704E10C0" w14:textId="77777777" w:rsidR="00E14D8B" w:rsidRDefault="00000000">
      <w:pPr>
        <w:pStyle w:val="Titre2"/>
        <w:spacing w:before="280" w:after="120"/>
      </w:pPr>
      <w:r>
        <w:rPr>
          <w:rFonts w:ascii="Calibri" w:hAnsi="Calibri"/>
          <w:color w:val="006666"/>
        </w:rPr>
        <w:t>Diapositive 7 : Contamination des Milieux Naturels (Eaux, Sols, Air)</w:t>
      </w:r>
    </w:p>
    <w:p w14:paraId="7DE58790" w14:textId="77777777" w:rsidR="00E14D8B" w:rsidRDefault="00000000">
      <w:pPr>
        <w:spacing w:after="120"/>
      </w:pPr>
      <w:r>
        <w:rPr>
          <w:rFonts w:ascii="Calibri" w:hAnsi="Calibri"/>
          <w:color w:val="2A2F2D"/>
        </w:rPr>
        <w:t>Présence avérée de pesticides dans la majorité des cours d'eau métropolitains. Persistance pluridécennale dans les sols (chlordécone, lindane). Dans l'air, la campagne nationale de surveillance révèle 6 molécules présentes dans &gt;20 % des prélevés : glyphosate, lindane, S-métolachlore, pendiméthaline, prosulfocarbe, triallate.</w:t>
      </w:r>
    </w:p>
    <w:p w14:paraId="698E9C37" w14:textId="77777777" w:rsidR="00E14D8B" w:rsidRDefault="00000000">
      <w:pPr>
        <w:pStyle w:val="Titre2"/>
        <w:spacing w:before="280" w:after="120"/>
      </w:pPr>
      <w:r>
        <w:rPr>
          <w:rFonts w:ascii="Calibri" w:hAnsi="Calibri"/>
          <w:color w:val="006666"/>
        </w:rPr>
        <w:lastRenderedPageBreak/>
        <w:t>Diapositive 8 : Exposition de la Population (Étude Esteban)</w:t>
      </w:r>
    </w:p>
    <w:p w14:paraId="1F0BE264" w14:textId="77777777" w:rsidR="00E14D8B" w:rsidRDefault="00000000">
      <w:pPr>
        <w:spacing w:after="120"/>
      </w:pPr>
      <w:r>
        <w:rPr>
          <w:rFonts w:ascii="Calibri" w:hAnsi="Calibri"/>
          <w:color w:val="2A2F2D"/>
        </w:rPr>
        <w:t>L'étude d'imprégnation de Santé Publique France (Esteban) montre une baisse globale par rapport aux années 2000, mais souligne la présence du lindane chez près d'un adulte sur deux (48 %) et du glyphosate chez &lt;20 % des adultes et enfants.</w:t>
      </w:r>
    </w:p>
    <w:p w14:paraId="25F8EC33" w14:textId="77777777" w:rsidR="00E14D8B" w:rsidRDefault="00000000">
      <w:pPr>
        <w:pStyle w:val="Titre2"/>
        <w:spacing w:before="280" w:after="120"/>
      </w:pPr>
      <w:r>
        <w:rPr>
          <w:rFonts w:ascii="Calibri" w:hAnsi="Calibri"/>
          <w:color w:val="006666"/>
        </w:rPr>
        <w:t>Diapositive 9 : Santé Humaine &amp; Classifications CIRC / OMS</w:t>
      </w:r>
    </w:p>
    <w:p w14:paraId="598A1A25" w14:textId="77777777" w:rsidR="00E14D8B" w:rsidRDefault="00000000">
      <w:pPr>
        <w:spacing w:after="120"/>
      </w:pPr>
      <w:r>
        <w:rPr>
          <w:rFonts w:ascii="Calibri" w:hAnsi="Calibri"/>
          <w:color w:val="2A2F2D"/>
        </w:rPr>
        <w:t>Cancers professionnels chez les agriculteurs (lymphomes non hodgkiniens, myélomes multiples, prostate). La maladie de Parkinson est reconnue comme maladie professionnelle liée aux pesticides en France (~50 cas/an). Classification CIRC : Groupe 1 (lindane, arsenic), Groupe 2A (glyphosate, malathion, DDT), Groupe 2B (chlordécone, 2,4-D).</w:t>
      </w:r>
    </w:p>
    <w:p w14:paraId="2219F16F" w14:textId="77777777" w:rsidR="00E14D8B" w:rsidRDefault="00000000">
      <w:pPr>
        <w:pStyle w:val="Titre2"/>
        <w:spacing w:before="280" w:after="120"/>
      </w:pPr>
      <w:r>
        <w:rPr>
          <w:rFonts w:ascii="Calibri" w:hAnsi="Calibri"/>
          <w:color w:val="006666"/>
        </w:rPr>
        <w:t>Diapositive 10 : Concentration Territoriale et Trajectoire Écophyto</w:t>
      </w:r>
    </w:p>
    <w:p w14:paraId="584FE9B1" w14:textId="77777777" w:rsidR="00E14D8B" w:rsidRDefault="00000000">
      <w:pPr>
        <w:spacing w:after="120"/>
      </w:pPr>
      <w:r>
        <w:rPr>
          <w:rFonts w:ascii="Calibri" w:hAnsi="Calibri"/>
          <w:color w:val="2A2F2D"/>
        </w:rPr>
        <w:t>17 départements concentrent plus de 50 % des achats des substances les plus toxiques (ex. Eure-et-Loir, Marne, Somme, Charente-Maritime). Présentation des plans Écophyto (-50 % d'ici 2030), des Zones de Non-Traitement (ZNT) et du rôle de l'ANSES dans la délivrance/retrait des AMM.</w:t>
      </w:r>
    </w:p>
    <w:p w14:paraId="0CC51840" w14:textId="77777777" w:rsidR="00E14D8B" w:rsidRDefault="00000000">
      <w:pPr>
        <w:pStyle w:val="Titre1"/>
        <w:spacing w:before="360" w:after="160"/>
      </w:pPr>
      <w:r>
        <w:rPr>
          <w:rFonts w:ascii="Calibri" w:hAnsi="Calibri"/>
          <w:color w:val="1B2040"/>
        </w:rPr>
        <w:t>3. Partie II : Biochimie Enzymatique et Modes d'Action Physiologiques (Diapositives 11 à 20)</w:t>
      </w:r>
    </w:p>
    <w:p w14:paraId="004006C7" w14:textId="77777777" w:rsidR="00E14D8B" w:rsidRDefault="00000000">
      <w:pPr>
        <w:pStyle w:val="Titre2"/>
        <w:spacing w:before="280" w:after="120"/>
      </w:pPr>
      <w:r>
        <w:rPr>
          <w:rFonts w:ascii="Calibri" w:hAnsi="Calibri"/>
          <w:color w:val="006666"/>
        </w:rPr>
        <w:t>Diapositive 11 : Transition vers l'Enzymologie</w:t>
      </w:r>
    </w:p>
    <w:p w14:paraId="3350A442" w14:textId="77777777" w:rsidR="00E14D8B" w:rsidRDefault="00000000">
      <w:pPr>
        <w:spacing w:after="120"/>
      </w:pPr>
      <w:r>
        <w:rPr>
          <w:rFonts w:ascii="Calibri" w:hAnsi="Calibri"/>
          <w:color w:val="2A2F2D"/>
        </w:rPr>
        <w:t>Passage de la vision macroscopique environnementale à la physiologie cellulaire et à la cinétique d'inhibition enzymatique.</w:t>
      </w:r>
    </w:p>
    <w:p w14:paraId="37BA5903" w14:textId="77777777" w:rsidR="00E14D8B" w:rsidRDefault="00000000">
      <w:pPr>
        <w:pStyle w:val="Titre2"/>
        <w:spacing w:before="280" w:after="120"/>
      </w:pPr>
      <w:r>
        <w:rPr>
          <w:rFonts w:ascii="Calibri" w:hAnsi="Calibri"/>
          <w:color w:val="006666"/>
        </w:rPr>
        <w:t>Diapositive 12 : Catalyse Enzymatique et Perturbation [E-S]</w:t>
      </w:r>
    </w:p>
    <w:p w14:paraId="02F59293" w14:textId="77777777" w:rsidR="00E14D8B" w:rsidRDefault="00000000">
      <w:pPr>
        <w:spacing w:after="120"/>
      </w:pPr>
      <w:r>
        <w:rPr>
          <w:rFonts w:ascii="Calibri" w:hAnsi="Calibri"/>
          <w:color w:val="2A2F2D"/>
        </w:rPr>
        <w:t>Une enzyme (E) se lie à son substrat (S) au niveau du site actif pour abaisser l'énergie d'activation (Ea) et générer le produit (P). Le pesticide agit comme un leurre structural ou un bloqueur allostérique, interrompant la voie métabolique.</w:t>
      </w:r>
    </w:p>
    <w:p w14:paraId="2204B3A6" w14:textId="77777777" w:rsidR="00E14D8B" w:rsidRDefault="00000000">
      <w:pPr>
        <w:pStyle w:val="Titre2"/>
        <w:spacing w:before="280" w:after="120"/>
      </w:pPr>
      <w:r>
        <w:rPr>
          <w:rFonts w:ascii="Calibri" w:hAnsi="Calibri"/>
          <w:color w:val="006666"/>
        </w:rPr>
        <w:t>Diapositive 13 : Typologie Cinétique des Inhibitions</w:t>
      </w:r>
    </w:p>
    <w:p w14:paraId="296C9B29" w14:textId="77777777" w:rsidR="00E14D8B" w:rsidRDefault="00000000">
      <w:pPr>
        <w:spacing w:after="120"/>
      </w:pPr>
      <w:r>
        <w:rPr>
          <w:rFonts w:ascii="Calibri" w:hAnsi="Calibri"/>
          <w:color w:val="2A2F2D"/>
        </w:rPr>
        <w:t>Présentation des 3 mécanismes d'inhibition :</w:t>
      </w:r>
    </w:p>
    <w:p w14:paraId="468932AF" w14:textId="77777777" w:rsidR="00E14D8B" w:rsidRDefault="00000000">
      <w:pPr>
        <w:spacing w:after="120"/>
      </w:pPr>
      <w:r>
        <w:rPr>
          <w:rFonts w:ascii="Calibri" w:hAnsi="Calibri"/>
          <w:b/>
          <w:color w:val="2A2F2D"/>
        </w:rPr>
        <w:t xml:space="preserve">1. Inhibition compétitive : </w:t>
      </w:r>
      <w:r>
        <w:rPr>
          <w:rFonts w:ascii="Calibri" w:hAnsi="Calibri"/>
          <w:color w:val="2A2F2D"/>
        </w:rPr>
        <w:t>Le pesticide se fixe sur le site actif en compétition avec S. Km apparent augmente, Vmax reste inchangée.</w:t>
      </w:r>
    </w:p>
    <w:p w14:paraId="186A45A8" w14:textId="77777777" w:rsidR="00E14D8B" w:rsidRDefault="00000000">
      <w:pPr>
        <w:spacing w:after="120"/>
      </w:pPr>
      <w:r>
        <w:rPr>
          <w:rFonts w:ascii="Calibri" w:hAnsi="Calibri"/>
          <w:b/>
          <w:color w:val="2A2F2D"/>
        </w:rPr>
        <w:t xml:space="preserve">2. Inhibition non-compétitive : </w:t>
      </w:r>
      <w:r>
        <w:rPr>
          <w:rFonts w:ascii="Calibri" w:hAnsi="Calibri"/>
          <w:color w:val="2A2F2D"/>
        </w:rPr>
        <w:t>Fixation sur un site allostérique. Vmax diminue, Km reste inchangé.</w:t>
      </w:r>
    </w:p>
    <w:p w14:paraId="3FFF0EF4" w14:textId="77777777" w:rsidR="00E14D8B" w:rsidRDefault="00000000">
      <w:pPr>
        <w:spacing w:after="120"/>
      </w:pPr>
      <w:r>
        <w:rPr>
          <w:rFonts w:ascii="Calibri" w:hAnsi="Calibri"/>
          <w:b/>
          <w:color w:val="2A2F2D"/>
        </w:rPr>
        <w:t xml:space="preserve">3. Inhibition irréversible : </w:t>
      </w:r>
      <w:r>
        <w:rPr>
          <w:rFonts w:ascii="Calibri" w:hAnsi="Calibri"/>
          <w:color w:val="2A2F2D"/>
        </w:rPr>
        <w:t>Formation d'une liaison covalente permanente avec un acide aminé catalytique.</w:t>
      </w:r>
    </w:p>
    <w:p w14:paraId="36ED8713" w14:textId="77777777" w:rsidR="00E14D8B" w:rsidRDefault="00000000">
      <w:pPr>
        <w:jc w:val="center"/>
      </w:pPr>
      <w:r>
        <w:rPr>
          <w:noProof/>
        </w:rPr>
        <w:lastRenderedPageBreak/>
        <w:drawing>
          <wp:inline distT="0" distB="0" distL="0" distR="0" wp14:anchorId="1AA20A10" wp14:editId="5568BF55">
            <wp:extent cx="5029200" cy="2806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ibition_types_diagram.png"/>
                    <pic:cNvPicPr/>
                  </pic:nvPicPr>
                  <pic:blipFill>
                    <a:blip r:embed="rId8"/>
                    <a:stretch>
                      <a:fillRect/>
                    </a:stretch>
                  </pic:blipFill>
                  <pic:spPr>
                    <a:xfrm>
                      <a:off x="0" y="0"/>
                      <a:ext cx="5029200" cy="2806995"/>
                    </a:xfrm>
                    <a:prstGeom prst="rect">
                      <a:avLst/>
                    </a:prstGeom>
                  </pic:spPr>
                </pic:pic>
              </a:graphicData>
            </a:graphic>
          </wp:inline>
        </w:drawing>
      </w:r>
    </w:p>
    <w:p w14:paraId="5163B4F9" w14:textId="77777777" w:rsidR="00E14D8B" w:rsidRDefault="00000000">
      <w:pPr>
        <w:jc w:val="center"/>
      </w:pPr>
      <w:r>
        <w:rPr>
          <w:i/>
          <w:sz w:val="18"/>
        </w:rPr>
        <w:t>Figure 1 : Représentation schématique des trois grands modes d'inhibition enzymatique.</w:t>
      </w:r>
    </w:p>
    <w:p w14:paraId="7922A2D3" w14:textId="77777777" w:rsidR="00E14D8B" w:rsidRDefault="00000000">
      <w:pPr>
        <w:pStyle w:val="Titre2"/>
        <w:spacing w:before="280" w:after="120"/>
      </w:pPr>
      <w:r>
        <w:rPr>
          <w:rFonts w:ascii="Calibri" w:hAnsi="Calibri"/>
          <w:color w:val="006666"/>
        </w:rPr>
        <w:t>Diapositive 14 : Focus Acétylcholinestérase (AChE) &amp; Synapse Cholinergique</w:t>
      </w:r>
    </w:p>
    <w:p w14:paraId="40CD67D9" w14:textId="77777777" w:rsidR="00E14D8B" w:rsidRDefault="00000000">
      <w:pPr>
        <w:spacing w:after="120"/>
      </w:pPr>
      <w:r>
        <w:rPr>
          <w:rFonts w:ascii="Calibri" w:hAnsi="Calibri"/>
          <w:color w:val="2A2F2D"/>
        </w:rPr>
        <w:t>L'AChE hydrolyse l'acétylcholine (ACh) à une vitesse de ~25 000 molécules/s dans la fente synaptique. Son inhibition entraîne l'accumulation d'ACh, provoquant une surstimulation continue des récepteurs nAChR, la paralysie et la mort.</w:t>
      </w:r>
    </w:p>
    <w:p w14:paraId="2315B897" w14:textId="77777777" w:rsidR="00E14D8B" w:rsidRDefault="00000000">
      <w:pPr>
        <w:jc w:val="center"/>
      </w:pPr>
      <w:r>
        <w:rPr>
          <w:noProof/>
        </w:rPr>
        <w:drawing>
          <wp:inline distT="0" distB="0" distL="0" distR="0" wp14:anchorId="2E811093" wp14:editId="28659213">
            <wp:extent cx="5029200" cy="28069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napse_inhibition_diagram.png"/>
                    <pic:cNvPicPr/>
                  </pic:nvPicPr>
                  <pic:blipFill>
                    <a:blip r:embed="rId9"/>
                    <a:stretch>
                      <a:fillRect/>
                    </a:stretch>
                  </pic:blipFill>
                  <pic:spPr>
                    <a:xfrm>
                      <a:off x="0" y="0"/>
                      <a:ext cx="5029200" cy="2806995"/>
                    </a:xfrm>
                    <a:prstGeom prst="rect">
                      <a:avLst/>
                    </a:prstGeom>
                  </pic:spPr>
                </pic:pic>
              </a:graphicData>
            </a:graphic>
          </wp:inline>
        </w:drawing>
      </w:r>
    </w:p>
    <w:p w14:paraId="13573AA5" w14:textId="77777777" w:rsidR="00E14D8B" w:rsidRDefault="00000000">
      <w:pPr>
        <w:jc w:val="center"/>
      </w:pPr>
      <w:r>
        <w:rPr>
          <w:i/>
          <w:sz w:val="18"/>
        </w:rPr>
        <w:t>Figure 2 : Mécanisme d'inhibition de la synapse cholinergique par les neurotoxiques.</w:t>
      </w:r>
    </w:p>
    <w:p w14:paraId="147191DA" w14:textId="77777777" w:rsidR="00E14D8B" w:rsidRDefault="00000000">
      <w:pPr>
        <w:pStyle w:val="Titre2"/>
        <w:spacing w:before="280" w:after="120"/>
      </w:pPr>
      <w:r>
        <w:rPr>
          <w:rFonts w:ascii="Calibri" w:hAnsi="Calibri"/>
          <w:color w:val="006666"/>
        </w:rPr>
        <w:t>Diapositive 15 : Organophosphorés vs Carbamates</w:t>
      </w:r>
    </w:p>
    <w:p w14:paraId="63F51DBA" w14:textId="77777777" w:rsidR="00E14D8B" w:rsidRDefault="00000000">
      <w:pPr>
        <w:spacing w:after="120"/>
      </w:pPr>
      <w:r>
        <w:rPr>
          <w:rFonts w:ascii="Calibri" w:hAnsi="Calibri"/>
          <w:b/>
          <w:color w:val="2A2F2D"/>
        </w:rPr>
        <w:t xml:space="preserve">Organophosphorés : </w:t>
      </w:r>
      <w:r>
        <w:rPr>
          <w:rFonts w:ascii="Calibri" w:hAnsi="Calibri"/>
          <w:color w:val="2A2F2D"/>
        </w:rPr>
        <w:t>Phosphorylation de la sérine du site actif. Vieillissement (ageing) irréversible de l'enzyme.</w:t>
      </w:r>
    </w:p>
    <w:p w14:paraId="4D8257FD" w14:textId="77777777" w:rsidR="00E14D8B" w:rsidRDefault="00000000">
      <w:pPr>
        <w:spacing w:after="120"/>
      </w:pPr>
      <w:r>
        <w:rPr>
          <w:rFonts w:ascii="Calibri" w:hAnsi="Calibri"/>
          <w:b/>
          <w:color w:val="2A2F2D"/>
        </w:rPr>
        <w:lastRenderedPageBreak/>
        <w:t xml:space="preserve">Carbamates : </w:t>
      </w:r>
      <w:r>
        <w:rPr>
          <w:rFonts w:ascii="Calibri" w:hAnsi="Calibri"/>
          <w:color w:val="2A2F2D"/>
        </w:rPr>
        <w:t>Carbamylation réversible. Régénération lente de l'enzyme.</w:t>
      </w:r>
    </w:p>
    <w:p w14:paraId="1C766293" w14:textId="77777777" w:rsidR="00E14D8B" w:rsidRDefault="00000000">
      <w:pPr>
        <w:pStyle w:val="Titre2"/>
        <w:spacing w:before="280" w:after="120"/>
      </w:pPr>
      <w:r>
        <w:rPr>
          <w:rFonts w:ascii="Calibri" w:hAnsi="Calibri"/>
          <w:color w:val="006666"/>
        </w:rPr>
        <w:t>Diapositive 16 : Recherches INRAE Avignon — Écotoxicologie de l'Abeille</w:t>
      </w:r>
    </w:p>
    <w:p w14:paraId="04B056D5" w14:textId="77777777" w:rsidR="00E14D8B" w:rsidRDefault="00000000">
      <w:pPr>
        <w:spacing w:after="120"/>
      </w:pPr>
      <w:r>
        <w:rPr>
          <w:rFonts w:ascii="Calibri" w:hAnsi="Calibri"/>
          <w:color w:val="2A2F2D"/>
        </w:rPr>
        <w:t>Les travaux de l'UMR Abeilles &amp; Environnement d'INRAE Avignon montrent que des doses sublétales d'inhibiteurs de l'AChE perturbent l'apprentissage spatial, la mémoire et l'orientation chez Apis mellifera, provoquant le non-retour à la ruche.</w:t>
      </w:r>
    </w:p>
    <w:p w14:paraId="7BFFCA0B" w14:textId="77777777" w:rsidR="00E14D8B" w:rsidRDefault="00000000">
      <w:pPr>
        <w:pStyle w:val="Titre2"/>
        <w:spacing w:before="280" w:after="120"/>
      </w:pPr>
      <w:r>
        <w:rPr>
          <w:rFonts w:ascii="Calibri" w:hAnsi="Calibri"/>
          <w:color w:val="006666"/>
        </w:rPr>
        <w:t>Diapositive 17 : Fongicides SDHI &amp; Respiration Mitochondriale</w:t>
      </w:r>
    </w:p>
    <w:p w14:paraId="1EF70FB2" w14:textId="77777777" w:rsidR="00E14D8B" w:rsidRDefault="00000000">
      <w:pPr>
        <w:spacing w:after="120"/>
      </w:pPr>
      <w:r>
        <w:rPr>
          <w:rFonts w:ascii="Calibri" w:hAnsi="Calibri"/>
          <w:color w:val="2A2F2D"/>
        </w:rPr>
        <w:t>Blocage du Complexe II (Succinate Déshydrogénase - SDH) de la chaîne respiratoire mitochondriale. Controverses sur l'absence de sélectivité inter-espèces et le risque de stress oxydatif chez l'Homme.</w:t>
      </w:r>
    </w:p>
    <w:p w14:paraId="0721D158" w14:textId="77777777" w:rsidR="00E14D8B" w:rsidRDefault="00000000">
      <w:pPr>
        <w:pStyle w:val="Titre2"/>
        <w:spacing w:before="280" w:after="120"/>
      </w:pPr>
      <w:r>
        <w:rPr>
          <w:rFonts w:ascii="Calibri" w:hAnsi="Calibri"/>
          <w:color w:val="006666"/>
        </w:rPr>
        <w:t>Diapositive 18 : Glyphosate &amp; Voie du Shikimate</w:t>
      </w:r>
    </w:p>
    <w:p w14:paraId="3768E0DB" w14:textId="77777777" w:rsidR="00E14D8B" w:rsidRDefault="00000000">
      <w:pPr>
        <w:spacing w:after="120"/>
      </w:pPr>
      <w:r>
        <w:rPr>
          <w:rFonts w:ascii="Calibri" w:hAnsi="Calibri"/>
          <w:color w:val="2A2F2D"/>
        </w:rPr>
        <w:t>Inhibition compétitive de l'enzyme EPSPS par analogie structurale avec le phosphoénolpyruvate (PEP), bloquant la synthèse des acides aminés aromatiques (Phe, Tyr, Trp) chez les plantes et micro-organismes.</w:t>
      </w:r>
    </w:p>
    <w:p w14:paraId="4D86FAC3" w14:textId="77777777" w:rsidR="00E14D8B" w:rsidRDefault="00000000">
      <w:pPr>
        <w:pStyle w:val="Titre2"/>
        <w:spacing w:before="280" w:after="120"/>
      </w:pPr>
      <w:r>
        <w:rPr>
          <w:rFonts w:ascii="Calibri" w:hAnsi="Calibri"/>
          <w:color w:val="006666"/>
        </w:rPr>
        <w:t>Diapositive 19 : Matrice Comparative des 10 Cibles Enzymatiques</w:t>
      </w:r>
    </w:p>
    <w:p w14:paraId="4E4EF670" w14:textId="77777777" w:rsidR="00E14D8B" w:rsidRDefault="00000000">
      <w:pPr>
        <w:spacing w:after="120"/>
      </w:pPr>
      <w:r>
        <w:rPr>
          <w:rFonts w:ascii="Calibri" w:hAnsi="Calibri"/>
          <w:color w:val="2A2F2D"/>
        </w:rPr>
        <w:t>Tableau récapitulatif des 10 principales enzymes cibles des pesticides :</w:t>
      </w:r>
    </w:p>
    <w:tbl>
      <w:tblPr>
        <w:tblStyle w:val="Grilledutableau"/>
        <w:tblW w:w="0" w:type="auto"/>
        <w:jc w:val="center"/>
        <w:tblLook w:val="04A0" w:firstRow="1" w:lastRow="0" w:firstColumn="1" w:lastColumn="0" w:noHBand="0" w:noVBand="1"/>
      </w:tblPr>
      <w:tblGrid>
        <w:gridCol w:w="2278"/>
        <w:gridCol w:w="2525"/>
        <w:gridCol w:w="2272"/>
        <w:gridCol w:w="2275"/>
      </w:tblGrid>
      <w:tr w:rsidR="00E14D8B" w14:paraId="6F4562EA" w14:textId="77777777">
        <w:trPr>
          <w:jc w:val="center"/>
        </w:trPr>
        <w:tc>
          <w:tcPr>
            <w:tcW w:w="2340" w:type="dxa"/>
            <w:shd w:val="clear" w:color="auto" w:fill="1B2040"/>
          </w:tcPr>
          <w:p w14:paraId="4650FA3C" w14:textId="77777777" w:rsidR="00E14D8B" w:rsidRDefault="00000000">
            <w:r>
              <w:rPr>
                <w:b/>
                <w:color w:val="FFFFFF"/>
              </w:rPr>
              <w:t>Famille / Molécule</w:t>
            </w:r>
          </w:p>
        </w:tc>
        <w:tc>
          <w:tcPr>
            <w:tcW w:w="2340" w:type="dxa"/>
            <w:shd w:val="clear" w:color="auto" w:fill="1B2040"/>
          </w:tcPr>
          <w:p w14:paraId="2B9C9794" w14:textId="77777777" w:rsidR="00E14D8B" w:rsidRDefault="00000000">
            <w:r>
              <w:rPr>
                <w:b/>
                <w:color w:val="FFFFFF"/>
              </w:rPr>
              <w:t>Enzyme Cible</w:t>
            </w:r>
          </w:p>
        </w:tc>
        <w:tc>
          <w:tcPr>
            <w:tcW w:w="2340" w:type="dxa"/>
            <w:shd w:val="clear" w:color="auto" w:fill="1B2040"/>
          </w:tcPr>
          <w:p w14:paraId="316FE30E" w14:textId="77777777" w:rsidR="00E14D8B" w:rsidRDefault="00000000">
            <w:r>
              <w:rPr>
                <w:b/>
                <w:color w:val="FFFFFF"/>
              </w:rPr>
              <w:t>Mode d'Inhibition</w:t>
            </w:r>
          </w:p>
        </w:tc>
        <w:tc>
          <w:tcPr>
            <w:tcW w:w="2340" w:type="dxa"/>
            <w:shd w:val="clear" w:color="auto" w:fill="1B2040"/>
          </w:tcPr>
          <w:p w14:paraId="2C666535" w14:textId="77777777" w:rsidR="00E14D8B" w:rsidRDefault="00000000">
            <w:r>
              <w:rPr>
                <w:b/>
                <w:color w:val="FFFFFF"/>
              </w:rPr>
              <w:t>Impact Physiologique</w:t>
            </w:r>
          </w:p>
        </w:tc>
      </w:tr>
      <w:tr w:rsidR="00E14D8B" w14:paraId="58824710" w14:textId="77777777">
        <w:trPr>
          <w:jc w:val="center"/>
        </w:trPr>
        <w:tc>
          <w:tcPr>
            <w:tcW w:w="2160" w:type="dxa"/>
            <w:shd w:val="clear" w:color="auto" w:fill="F9FAFB"/>
            <w:tcMar>
              <w:top w:w="80" w:type="dxa"/>
              <w:left w:w="100" w:type="dxa"/>
              <w:bottom w:w="80" w:type="dxa"/>
              <w:right w:w="100" w:type="dxa"/>
            </w:tcMar>
          </w:tcPr>
          <w:p w14:paraId="53F0A1D8" w14:textId="77777777" w:rsidR="00E14D8B" w:rsidRDefault="00000000">
            <w:pPr>
              <w:spacing w:after="40"/>
            </w:pPr>
            <w:r>
              <w:rPr>
                <w:sz w:val="18"/>
              </w:rPr>
              <w:t>Organophosphorés</w:t>
            </w:r>
          </w:p>
        </w:tc>
        <w:tc>
          <w:tcPr>
            <w:tcW w:w="2592" w:type="dxa"/>
            <w:shd w:val="clear" w:color="auto" w:fill="F9FAFB"/>
            <w:tcMar>
              <w:top w:w="80" w:type="dxa"/>
              <w:left w:w="100" w:type="dxa"/>
              <w:bottom w:w="80" w:type="dxa"/>
              <w:right w:w="100" w:type="dxa"/>
            </w:tcMar>
          </w:tcPr>
          <w:p w14:paraId="517DB89B" w14:textId="77777777" w:rsidR="00E14D8B" w:rsidRDefault="00000000">
            <w:pPr>
              <w:spacing w:after="40"/>
            </w:pPr>
            <w:r>
              <w:rPr>
                <w:sz w:val="18"/>
              </w:rPr>
              <w:t>Acétylcholinestérase (AChE)</w:t>
            </w:r>
          </w:p>
        </w:tc>
        <w:tc>
          <w:tcPr>
            <w:tcW w:w="2304" w:type="dxa"/>
            <w:shd w:val="clear" w:color="auto" w:fill="F9FAFB"/>
            <w:tcMar>
              <w:top w:w="80" w:type="dxa"/>
              <w:left w:w="100" w:type="dxa"/>
              <w:bottom w:w="80" w:type="dxa"/>
              <w:right w:w="100" w:type="dxa"/>
            </w:tcMar>
          </w:tcPr>
          <w:p w14:paraId="5F1FE3AE" w14:textId="77777777" w:rsidR="00E14D8B" w:rsidRDefault="00000000">
            <w:pPr>
              <w:spacing w:after="40"/>
            </w:pPr>
            <w:r>
              <w:rPr>
                <w:sz w:val="18"/>
              </w:rPr>
              <w:t>Irréversible (Phosphorylation)</w:t>
            </w:r>
          </w:p>
        </w:tc>
        <w:tc>
          <w:tcPr>
            <w:tcW w:w="2304" w:type="dxa"/>
            <w:shd w:val="clear" w:color="auto" w:fill="F9FAFB"/>
            <w:tcMar>
              <w:top w:w="80" w:type="dxa"/>
              <w:left w:w="100" w:type="dxa"/>
              <w:bottom w:w="80" w:type="dxa"/>
              <w:right w:w="100" w:type="dxa"/>
            </w:tcMar>
          </w:tcPr>
          <w:p w14:paraId="656E6E17" w14:textId="77777777" w:rsidR="00E14D8B" w:rsidRDefault="00000000">
            <w:pPr>
              <w:spacing w:after="40"/>
            </w:pPr>
            <w:r>
              <w:rPr>
                <w:sz w:val="18"/>
              </w:rPr>
              <w:t>Surstimulation synaptique, convulsion</w:t>
            </w:r>
          </w:p>
        </w:tc>
      </w:tr>
      <w:tr w:rsidR="00E14D8B" w14:paraId="0882F237" w14:textId="77777777">
        <w:trPr>
          <w:jc w:val="center"/>
        </w:trPr>
        <w:tc>
          <w:tcPr>
            <w:tcW w:w="2160" w:type="dxa"/>
            <w:shd w:val="clear" w:color="auto" w:fill="FFFFFF"/>
            <w:tcMar>
              <w:top w:w="80" w:type="dxa"/>
              <w:left w:w="100" w:type="dxa"/>
              <w:bottom w:w="80" w:type="dxa"/>
              <w:right w:w="100" w:type="dxa"/>
            </w:tcMar>
          </w:tcPr>
          <w:p w14:paraId="18ED216F" w14:textId="77777777" w:rsidR="00E14D8B" w:rsidRDefault="00000000">
            <w:pPr>
              <w:spacing w:after="40"/>
            </w:pPr>
            <w:r>
              <w:rPr>
                <w:sz w:val="18"/>
              </w:rPr>
              <w:t>Carbamates</w:t>
            </w:r>
          </w:p>
        </w:tc>
        <w:tc>
          <w:tcPr>
            <w:tcW w:w="2592" w:type="dxa"/>
            <w:shd w:val="clear" w:color="auto" w:fill="FFFFFF"/>
            <w:tcMar>
              <w:top w:w="80" w:type="dxa"/>
              <w:left w:w="100" w:type="dxa"/>
              <w:bottom w:w="80" w:type="dxa"/>
              <w:right w:w="100" w:type="dxa"/>
            </w:tcMar>
          </w:tcPr>
          <w:p w14:paraId="5C285306" w14:textId="77777777" w:rsidR="00E14D8B" w:rsidRDefault="00000000">
            <w:pPr>
              <w:spacing w:after="40"/>
            </w:pPr>
            <w:r>
              <w:rPr>
                <w:sz w:val="18"/>
              </w:rPr>
              <w:t>Acétylcholinestérase (AChE)</w:t>
            </w:r>
          </w:p>
        </w:tc>
        <w:tc>
          <w:tcPr>
            <w:tcW w:w="2304" w:type="dxa"/>
            <w:shd w:val="clear" w:color="auto" w:fill="FFFFFF"/>
            <w:tcMar>
              <w:top w:w="80" w:type="dxa"/>
              <w:left w:w="100" w:type="dxa"/>
              <w:bottom w:w="80" w:type="dxa"/>
              <w:right w:w="100" w:type="dxa"/>
            </w:tcMar>
          </w:tcPr>
          <w:p w14:paraId="1205F3C2" w14:textId="77777777" w:rsidR="00E14D8B" w:rsidRDefault="00000000">
            <w:pPr>
              <w:spacing w:after="40"/>
            </w:pPr>
            <w:r>
              <w:rPr>
                <w:sz w:val="18"/>
              </w:rPr>
              <w:t>Pseudo-irréversible (Carbamylation)</w:t>
            </w:r>
          </w:p>
        </w:tc>
        <w:tc>
          <w:tcPr>
            <w:tcW w:w="2304" w:type="dxa"/>
            <w:shd w:val="clear" w:color="auto" w:fill="FFFFFF"/>
            <w:tcMar>
              <w:top w:w="80" w:type="dxa"/>
              <w:left w:w="100" w:type="dxa"/>
              <w:bottom w:w="80" w:type="dxa"/>
              <w:right w:w="100" w:type="dxa"/>
            </w:tcMar>
          </w:tcPr>
          <w:p w14:paraId="09652682" w14:textId="77777777" w:rsidR="00E14D8B" w:rsidRDefault="00000000">
            <w:pPr>
              <w:spacing w:after="40"/>
            </w:pPr>
            <w:r>
              <w:rPr>
                <w:sz w:val="18"/>
              </w:rPr>
              <w:t>Blocage dégradation acétylcholine</w:t>
            </w:r>
          </w:p>
        </w:tc>
      </w:tr>
      <w:tr w:rsidR="00E14D8B" w14:paraId="4E9F80BE" w14:textId="77777777">
        <w:trPr>
          <w:jc w:val="center"/>
        </w:trPr>
        <w:tc>
          <w:tcPr>
            <w:tcW w:w="2160" w:type="dxa"/>
            <w:shd w:val="clear" w:color="auto" w:fill="F9FAFB"/>
            <w:tcMar>
              <w:top w:w="80" w:type="dxa"/>
              <w:left w:w="100" w:type="dxa"/>
              <w:bottom w:w="80" w:type="dxa"/>
              <w:right w:w="100" w:type="dxa"/>
            </w:tcMar>
          </w:tcPr>
          <w:p w14:paraId="2292E92C" w14:textId="77777777" w:rsidR="00E14D8B" w:rsidRDefault="00000000">
            <w:pPr>
              <w:spacing w:after="40"/>
            </w:pPr>
            <w:r>
              <w:rPr>
                <w:sz w:val="18"/>
              </w:rPr>
              <w:t>Fongicides SDHI</w:t>
            </w:r>
          </w:p>
        </w:tc>
        <w:tc>
          <w:tcPr>
            <w:tcW w:w="2592" w:type="dxa"/>
            <w:shd w:val="clear" w:color="auto" w:fill="F9FAFB"/>
            <w:tcMar>
              <w:top w:w="80" w:type="dxa"/>
              <w:left w:w="100" w:type="dxa"/>
              <w:bottom w:w="80" w:type="dxa"/>
              <w:right w:w="100" w:type="dxa"/>
            </w:tcMar>
          </w:tcPr>
          <w:p w14:paraId="7907F182" w14:textId="77777777" w:rsidR="00E14D8B" w:rsidRDefault="00000000">
            <w:pPr>
              <w:spacing w:after="40"/>
            </w:pPr>
            <w:r>
              <w:rPr>
                <w:sz w:val="18"/>
              </w:rPr>
              <w:t>Succinate Déshydrogénase (SDH)</w:t>
            </w:r>
          </w:p>
        </w:tc>
        <w:tc>
          <w:tcPr>
            <w:tcW w:w="2304" w:type="dxa"/>
            <w:shd w:val="clear" w:color="auto" w:fill="F9FAFB"/>
            <w:tcMar>
              <w:top w:w="80" w:type="dxa"/>
              <w:left w:w="100" w:type="dxa"/>
              <w:bottom w:w="80" w:type="dxa"/>
              <w:right w:w="100" w:type="dxa"/>
            </w:tcMar>
          </w:tcPr>
          <w:p w14:paraId="40C8EEBB" w14:textId="77777777" w:rsidR="00E14D8B" w:rsidRDefault="00000000">
            <w:pPr>
              <w:spacing w:after="40"/>
            </w:pPr>
            <w:r>
              <w:rPr>
                <w:sz w:val="18"/>
              </w:rPr>
              <w:t>Non-compétitive (Complexe II)</w:t>
            </w:r>
          </w:p>
        </w:tc>
        <w:tc>
          <w:tcPr>
            <w:tcW w:w="2304" w:type="dxa"/>
            <w:shd w:val="clear" w:color="auto" w:fill="F9FAFB"/>
            <w:tcMar>
              <w:top w:w="80" w:type="dxa"/>
              <w:left w:w="100" w:type="dxa"/>
              <w:bottom w:w="80" w:type="dxa"/>
              <w:right w:w="100" w:type="dxa"/>
            </w:tcMar>
          </w:tcPr>
          <w:p w14:paraId="777B41FD" w14:textId="77777777" w:rsidR="00E14D8B" w:rsidRDefault="00000000">
            <w:pPr>
              <w:spacing w:after="40"/>
            </w:pPr>
            <w:r>
              <w:rPr>
                <w:sz w:val="18"/>
              </w:rPr>
              <w:t>Arrêt respiration mitochondriale</w:t>
            </w:r>
          </w:p>
        </w:tc>
      </w:tr>
      <w:tr w:rsidR="00E14D8B" w14:paraId="0448CE8C" w14:textId="77777777">
        <w:trPr>
          <w:jc w:val="center"/>
        </w:trPr>
        <w:tc>
          <w:tcPr>
            <w:tcW w:w="2160" w:type="dxa"/>
            <w:shd w:val="clear" w:color="auto" w:fill="FFFFFF"/>
            <w:tcMar>
              <w:top w:w="80" w:type="dxa"/>
              <w:left w:w="100" w:type="dxa"/>
              <w:bottom w:w="80" w:type="dxa"/>
              <w:right w:w="100" w:type="dxa"/>
            </w:tcMar>
          </w:tcPr>
          <w:p w14:paraId="581AE059" w14:textId="77777777" w:rsidR="00E14D8B" w:rsidRDefault="00000000">
            <w:pPr>
              <w:spacing w:after="40"/>
            </w:pPr>
            <w:r>
              <w:rPr>
                <w:sz w:val="18"/>
              </w:rPr>
              <w:t>Glyphosate</w:t>
            </w:r>
          </w:p>
        </w:tc>
        <w:tc>
          <w:tcPr>
            <w:tcW w:w="2592" w:type="dxa"/>
            <w:shd w:val="clear" w:color="auto" w:fill="FFFFFF"/>
            <w:tcMar>
              <w:top w:w="80" w:type="dxa"/>
              <w:left w:w="100" w:type="dxa"/>
              <w:bottom w:w="80" w:type="dxa"/>
              <w:right w:w="100" w:type="dxa"/>
            </w:tcMar>
          </w:tcPr>
          <w:p w14:paraId="1A1DA2AE" w14:textId="77777777" w:rsidR="00E14D8B" w:rsidRDefault="00000000">
            <w:pPr>
              <w:spacing w:after="40"/>
            </w:pPr>
            <w:r>
              <w:rPr>
                <w:sz w:val="18"/>
              </w:rPr>
              <w:t>EPSPS (Voie Shikimate)</w:t>
            </w:r>
          </w:p>
        </w:tc>
        <w:tc>
          <w:tcPr>
            <w:tcW w:w="2304" w:type="dxa"/>
            <w:shd w:val="clear" w:color="auto" w:fill="FFFFFF"/>
            <w:tcMar>
              <w:top w:w="80" w:type="dxa"/>
              <w:left w:w="100" w:type="dxa"/>
              <w:bottom w:w="80" w:type="dxa"/>
              <w:right w:w="100" w:type="dxa"/>
            </w:tcMar>
          </w:tcPr>
          <w:p w14:paraId="7DF6B9B6" w14:textId="77777777" w:rsidR="00E14D8B" w:rsidRDefault="00000000">
            <w:pPr>
              <w:spacing w:after="40"/>
            </w:pPr>
            <w:r>
              <w:rPr>
                <w:sz w:val="18"/>
              </w:rPr>
              <w:t>Compétitive (vs PEP)</w:t>
            </w:r>
          </w:p>
        </w:tc>
        <w:tc>
          <w:tcPr>
            <w:tcW w:w="2304" w:type="dxa"/>
            <w:shd w:val="clear" w:color="auto" w:fill="FFFFFF"/>
            <w:tcMar>
              <w:top w:w="80" w:type="dxa"/>
              <w:left w:w="100" w:type="dxa"/>
              <w:bottom w:w="80" w:type="dxa"/>
              <w:right w:w="100" w:type="dxa"/>
            </w:tcMar>
          </w:tcPr>
          <w:p w14:paraId="7D3F6669" w14:textId="77777777" w:rsidR="00E14D8B" w:rsidRDefault="00000000">
            <w:pPr>
              <w:spacing w:after="40"/>
            </w:pPr>
            <w:r>
              <w:rPr>
                <w:sz w:val="18"/>
              </w:rPr>
              <w:t>Déficit en Ac. Aminés aromatiques</w:t>
            </w:r>
          </w:p>
        </w:tc>
      </w:tr>
      <w:tr w:rsidR="00E14D8B" w14:paraId="2462F350" w14:textId="77777777">
        <w:trPr>
          <w:jc w:val="center"/>
        </w:trPr>
        <w:tc>
          <w:tcPr>
            <w:tcW w:w="2160" w:type="dxa"/>
            <w:shd w:val="clear" w:color="auto" w:fill="F9FAFB"/>
            <w:tcMar>
              <w:top w:w="80" w:type="dxa"/>
              <w:left w:w="100" w:type="dxa"/>
              <w:bottom w:w="80" w:type="dxa"/>
              <w:right w:w="100" w:type="dxa"/>
            </w:tcMar>
          </w:tcPr>
          <w:p w14:paraId="782882D5" w14:textId="77777777" w:rsidR="00E14D8B" w:rsidRDefault="00000000">
            <w:pPr>
              <w:spacing w:after="40"/>
            </w:pPr>
            <w:r>
              <w:rPr>
                <w:sz w:val="18"/>
              </w:rPr>
              <w:t>Sulfonylurées</w:t>
            </w:r>
          </w:p>
        </w:tc>
        <w:tc>
          <w:tcPr>
            <w:tcW w:w="2592" w:type="dxa"/>
            <w:shd w:val="clear" w:color="auto" w:fill="F9FAFB"/>
            <w:tcMar>
              <w:top w:w="80" w:type="dxa"/>
              <w:left w:w="100" w:type="dxa"/>
              <w:bottom w:w="80" w:type="dxa"/>
              <w:right w:w="100" w:type="dxa"/>
            </w:tcMar>
          </w:tcPr>
          <w:p w14:paraId="45302B80" w14:textId="77777777" w:rsidR="00E14D8B" w:rsidRDefault="00000000">
            <w:pPr>
              <w:spacing w:after="40"/>
            </w:pPr>
            <w:r>
              <w:rPr>
                <w:sz w:val="18"/>
              </w:rPr>
              <w:t>Acétolactate Synthase (ALS)</w:t>
            </w:r>
          </w:p>
        </w:tc>
        <w:tc>
          <w:tcPr>
            <w:tcW w:w="2304" w:type="dxa"/>
            <w:shd w:val="clear" w:color="auto" w:fill="F9FAFB"/>
            <w:tcMar>
              <w:top w:w="80" w:type="dxa"/>
              <w:left w:w="100" w:type="dxa"/>
              <w:bottom w:w="80" w:type="dxa"/>
              <w:right w:w="100" w:type="dxa"/>
            </w:tcMar>
          </w:tcPr>
          <w:p w14:paraId="6401ACBB" w14:textId="77777777" w:rsidR="00E14D8B" w:rsidRDefault="00000000">
            <w:pPr>
              <w:spacing w:after="40"/>
            </w:pPr>
            <w:r>
              <w:rPr>
                <w:sz w:val="18"/>
              </w:rPr>
              <w:t>Allostérique / Non-compétitive</w:t>
            </w:r>
          </w:p>
        </w:tc>
        <w:tc>
          <w:tcPr>
            <w:tcW w:w="2304" w:type="dxa"/>
            <w:shd w:val="clear" w:color="auto" w:fill="F9FAFB"/>
            <w:tcMar>
              <w:top w:w="80" w:type="dxa"/>
              <w:left w:w="100" w:type="dxa"/>
              <w:bottom w:w="80" w:type="dxa"/>
              <w:right w:w="100" w:type="dxa"/>
            </w:tcMar>
          </w:tcPr>
          <w:p w14:paraId="2F4C7CF8" w14:textId="77777777" w:rsidR="00E14D8B" w:rsidRDefault="00000000">
            <w:pPr>
              <w:spacing w:after="40"/>
            </w:pPr>
            <w:r>
              <w:rPr>
                <w:sz w:val="18"/>
              </w:rPr>
              <w:t>Arrêt synthèse Val / Leu / Ile</w:t>
            </w:r>
          </w:p>
        </w:tc>
      </w:tr>
      <w:tr w:rsidR="00E14D8B" w14:paraId="4B117F4A" w14:textId="77777777">
        <w:trPr>
          <w:jc w:val="center"/>
        </w:trPr>
        <w:tc>
          <w:tcPr>
            <w:tcW w:w="2160" w:type="dxa"/>
            <w:shd w:val="clear" w:color="auto" w:fill="FFFFFF"/>
            <w:tcMar>
              <w:top w:w="80" w:type="dxa"/>
              <w:left w:w="100" w:type="dxa"/>
              <w:bottom w:w="80" w:type="dxa"/>
              <w:right w:w="100" w:type="dxa"/>
            </w:tcMar>
          </w:tcPr>
          <w:p w14:paraId="031D06E7" w14:textId="77777777" w:rsidR="00E14D8B" w:rsidRDefault="00000000">
            <w:pPr>
              <w:spacing w:after="40"/>
            </w:pPr>
            <w:r>
              <w:rPr>
                <w:sz w:val="18"/>
              </w:rPr>
              <w:t>Triazines / Urées</w:t>
            </w:r>
          </w:p>
        </w:tc>
        <w:tc>
          <w:tcPr>
            <w:tcW w:w="2592" w:type="dxa"/>
            <w:shd w:val="clear" w:color="auto" w:fill="FFFFFF"/>
            <w:tcMar>
              <w:top w:w="80" w:type="dxa"/>
              <w:left w:w="100" w:type="dxa"/>
              <w:bottom w:w="80" w:type="dxa"/>
              <w:right w:w="100" w:type="dxa"/>
            </w:tcMar>
          </w:tcPr>
          <w:p w14:paraId="0B9E804C" w14:textId="77777777" w:rsidR="00E14D8B" w:rsidRDefault="00000000">
            <w:pPr>
              <w:spacing w:after="40"/>
            </w:pPr>
            <w:r>
              <w:rPr>
                <w:sz w:val="18"/>
              </w:rPr>
              <w:t>Protéine D1 (Photosystème II)</w:t>
            </w:r>
          </w:p>
        </w:tc>
        <w:tc>
          <w:tcPr>
            <w:tcW w:w="2304" w:type="dxa"/>
            <w:shd w:val="clear" w:color="auto" w:fill="FFFFFF"/>
            <w:tcMar>
              <w:top w:w="80" w:type="dxa"/>
              <w:left w:w="100" w:type="dxa"/>
              <w:bottom w:w="80" w:type="dxa"/>
              <w:right w:w="100" w:type="dxa"/>
            </w:tcMar>
          </w:tcPr>
          <w:p w14:paraId="5AAC95D0" w14:textId="77777777" w:rsidR="00E14D8B" w:rsidRDefault="00000000">
            <w:pPr>
              <w:spacing w:after="40"/>
            </w:pPr>
            <w:r>
              <w:rPr>
                <w:sz w:val="18"/>
              </w:rPr>
              <w:t>Compétitive (vs Plastoquinone)</w:t>
            </w:r>
          </w:p>
        </w:tc>
        <w:tc>
          <w:tcPr>
            <w:tcW w:w="2304" w:type="dxa"/>
            <w:shd w:val="clear" w:color="auto" w:fill="FFFFFF"/>
            <w:tcMar>
              <w:top w:w="80" w:type="dxa"/>
              <w:left w:w="100" w:type="dxa"/>
              <w:bottom w:w="80" w:type="dxa"/>
              <w:right w:w="100" w:type="dxa"/>
            </w:tcMar>
          </w:tcPr>
          <w:p w14:paraId="29FC31DC" w14:textId="77777777" w:rsidR="00E14D8B" w:rsidRDefault="00000000">
            <w:pPr>
              <w:spacing w:after="40"/>
            </w:pPr>
            <w:r>
              <w:rPr>
                <w:sz w:val="18"/>
              </w:rPr>
              <w:t>Interruption transfert électrons PSII</w:t>
            </w:r>
          </w:p>
        </w:tc>
      </w:tr>
      <w:tr w:rsidR="00E14D8B" w14:paraId="5F4DC8B7" w14:textId="77777777">
        <w:trPr>
          <w:jc w:val="center"/>
        </w:trPr>
        <w:tc>
          <w:tcPr>
            <w:tcW w:w="2160" w:type="dxa"/>
            <w:shd w:val="clear" w:color="auto" w:fill="F9FAFB"/>
            <w:tcMar>
              <w:top w:w="80" w:type="dxa"/>
              <w:left w:w="100" w:type="dxa"/>
              <w:bottom w:w="80" w:type="dxa"/>
              <w:right w:w="100" w:type="dxa"/>
            </w:tcMar>
          </w:tcPr>
          <w:p w14:paraId="794D26D3" w14:textId="77777777" w:rsidR="00E14D8B" w:rsidRDefault="00000000">
            <w:pPr>
              <w:spacing w:after="40"/>
            </w:pPr>
            <w:r>
              <w:rPr>
                <w:sz w:val="18"/>
              </w:rPr>
              <w:t>Fongicides Azolés</w:t>
            </w:r>
          </w:p>
        </w:tc>
        <w:tc>
          <w:tcPr>
            <w:tcW w:w="2592" w:type="dxa"/>
            <w:shd w:val="clear" w:color="auto" w:fill="F9FAFB"/>
            <w:tcMar>
              <w:top w:w="80" w:type="dxa"/>
              <w:left w:w="100" w:type="dxa"/>
              <w:bottom w:w="80" w:type="dxa"/>
              <w:right w:w="100" w:type="dxa"/>
            </w:tcMar>
          </w:tcPr>
          <w:p w14:paraId="1FD770E7" w14:textId="77777777" w:rsidR="00E14D8B" w:rsidRDefault="00000000">
            <w:pPr>
              <w:spacing w:after="40"/>
            </w:pPr>
            <w:r>
              <w:rPr>
                <w:sz w:val="18"/>
              </w:rPr>
              <w:t>14α-déméthylase (CYP51)</w:t>
            </w:r>
          </w:p>
        </w:tc>
        <w:tc>
          <w:tcPr>
            <w:tcW w:w="2304" w:type="dxa"/>
            <w:shd w:val="clear" w:color="auto" w:fill="F9FAFB"/>
            <w:tcMar>
              <w:top w:w="80" w:type="dxa"/>
              <w:left w:w="100" w:type="dxa"/>
              <w:bottom w:w="80" w:type="dxa"/>
              <w:right w:w="100" w:type="dxa"/>
            </w:tcMar>
          </w:tcPr>
          <w:p w14:paraId="27131853" w14:textId="77777777" w:rsidR="00E14D8B" w:rsidRDefault="00000000">
            <w:pPr>
              <w:spacing w:after="40"/>
            </w:pPr>
            <w:r>
              <w:rPr>
                <w:sz w:val="18"/>
              </w:rPr>
              <w:t>Non-compétitive (Liaison Hème)</w:t>
            </w:r>
          </w:p>
        </w:tc>
        <w:tc>
          <w:tcPr>
            <w:tcW w:w="2304" w:type="dxa"/>
            <w:shd w:val="clear" w:color="auto" w:fill="F9FAFB"/>
            <w:tcMar>
              <w:top w:w="80" w:type="dxa"/>
              <w:left w:w="100" w:type="dxa"/>
              <w:bottom w:w="80" w:type="dxa"/>
              <w:right w:w="100" w:type="dxa"/>
            </w:tcMar>
          </w:tcPr>
          <w:p w14:paraId="2298E9CB" w14:textId="77777777" w:rsidR="00E14D8B" w:rsidRDefault="00000000">
            <w:pPr>
              <w:spacing w:after="40"/>
            </w:pPr>
            <w:r>
              <w:rPr>
                <w:sz w:val="18"/>
              </w:rPr>
              <w:t>Déficit ergostérol, fuite membranaire</w:t>
            </w:r>
          </w:p>
        </w:tc>
      </w:tr>
      <w:tr w:rsidR="00E14D8B" w14:paraId="042A282A" w14:textId="77777777">
        <w:trPr>
          <w:jc w:val="center"/>
        </w:trPr>
        <w:tc>
          <w:tcPr>
            <w:tcW w:w="2160" w:type="dxa"/>
            <w:shd w:val="clear" w:color="auto" w:fill="FFFFFF"/>
            <w:tcMar>
              <w:top w:w="80" w:type="dxa"/>
              <w:left w:w="100" w:type="dxa"/>
              <w:bottom w:w="80" w:type="dxa"/>
              <w:right w:w="100" w:type="dxa"/>
            </w:tcMar>
          </w:tcPr>
          <w:p w14:paraId="461A089F" w14:textId="77777777" w:rsidR="00E14D8B" w:rsidRDefault="00000000">
            <w:pPr>
              <w:spacing w:after="40"/>
            </w:pPr>
            <w:r>
              <w:rPr>
                <w:sz w:val="18"/>
              </w:rPr>
              <w:t>Herbicides PPO</w:t>
            </w:r>
          </w:p>
        </w:tc>
        <w:tc>
          <w:tcPr>
            <w:tcW w:w="2592" w:type="dxa"/>
            <w:shd w:val="clear" w:color="auto" w:fill="FFFFFF"/>
            <w:tcMar>
              <w:top w:w="80" w:type="dxa"/>
              <w:left w:w="100" w:type="dxa"/>
              <w:bottom w:w="80" w:type="dxa"/>
              <w:right w:w="100" w:type="dxa"/>
            </w:tcMar>
          </w:tcPr>
          <w:p w14:paraId="6FC98411" w14:textId="77777777" w:rsidR="00E14D8B" w:rsidRDefault="00000000">
            <w:pPr>
              <w:spacing w:after="40"/>
            </w:pPr>
            <w:r>
              <w:rPr>
                <w:sz w:val="18"/>
              </w:rPr>
              <w:t>Protoporphyrinogène Oxydase</w:t>
            </w:r>
          </w:p>
        </w:tc>
        <w:tc>
          <w:tcPr>
            <w:tcW w:w="2304" w:type="dxa"/>
            <w:shd w:val="clear" w:color="auto" w:fill="FFFFFF"/>
            <w:tcMar>
              <w:top w:w="80" w:type="dxa"/>
              <w:left w:w="100" w:type="dxa"/>
              <w:bottom w:w="80" w:type="dxa"/>
              <w:right w:w="100" w:type="dxa"/>
            </w:tcMar>
          </w:tcPr>
          <w:p w14:paraId="20DC64E2" w14:textId="77777777" w:rsidR="00E14D8B" w:rsidRDefault="00000000">
            <w:pPr>
              <w:spacing w:after="40"/>
            </w:pPr>
            <w:r>
              <w:rPr>
                <w:sz w:val="18"/>
              </w:rPr>
              <w:t>Compétitive</w:t>
            </w:r>
          </w:p>
        </w:tc>
        <w:tc>
          <w:tcPr>
            <w:tcW w:w="2304" w:type="dxa"/>
            <w:shd w:val="clear" w:color="auto" w:fill="FFFFFF"/>
            <w:tcMar>
              <w:top w:w="80" w:type="dxa"/>
              <w:left w:w="100" w:type="dxa"/>
              <w:bottom w:w="80" w:type="dxa"/>
              <w:right w:w="100" w:type="dxa"/>
            </w:tcMar>
          </w:tcPr>
          <w:p w14:paraId="4216EA5F" w14:textId="77777777" w:rsidR="00E14D8B" w:rsidRDefault="00000000">
            <w:pPr>
              <w:spacing w:after="40"/>
            </w:pPr>
            <w:r>
              <w:rPr>
                <w:sz w:val="18"/>
              </w:rPr>
              <w:t>Accumulation porphyrines toxiques</w:t>
            </w:r>
          </w:p>
        </w:tc>
      </w:tr>
      <w:tr w:rsidR="00E14D8B" w14:paraId="35ABCB39" w14:textId="77777777">
        <w:trPr>
          <w:jc w:val="center"/>
        </w:trPr>
        <w:tc>
          <w:tcPr>
            <w:tcW w:w="2160" w:type="dxa"/>
            <w:shd w:val="clear" w:color="auto" w:fill="F9FAFB"/>
            <w:tcMar>
              <w:top w:w="80" w:type="dxa"/>
              <w:left w:w="100" w:type="dxa"/>
              <w:bottom w:w="80" w:type="dxa"/>
              <w:right w:w="100" w:type="dxa"/>
            </w:tcMar>
          </w:tcPr>
          <w:p w14:paraId="60538B14" w14:textId="77777777" w:rsidR="00E14D8B" w:rsidRDefault="00000000">
            <w:pPr>
              <w:spacing w:after="40"/>
            </w:pPr>
            <w:r>
              <w:rPr>
                <w:sz w:val="18"/>
              </w:rPr>
              <w:t>Néonicotinoïdes</w:t>
            </w:r>
          </w:p>
        </w:tc>
        <w:tc>
          <w:tcPr>
            <w:tcW w:w="2592" w:type="dxa"/>
            <w:shd w:val="clear" w:color="auto" w:fill="F9FAFB"/>
            <w:tcMar>
              <w:top w:w="80" w:type="dxa"/>
              <w:left w:w="100" w:type="dxa"/>
              <w:bottom w:w="80" w:type="dxa"/>
              <w:right w:w="100" w:type="dxa"/>
            </w:tcMar>
          </w:tcPr>
          <w:p w14:paraId="000B6479" w14:textId="77777777" w:rsidR="00E14D8B" w:rsidRDefault="00000000">
            <w:pPr>
              <w:spacing w:after="40"/>
            </w:pPr>
            <w:r>
              <w:rPr>
                <w:sz w:val="18"/>
              </w:rPr>
              <w:t>Récepteur nAChR</w:t>
            </w:r>
          </w:p>
        </w:tc>
        <w:tc>
          <w:tcPr>
            <w:tcW w:w="2304" w:type="dxa"/>
            <w:shd w:val="clear" w:color="auto" w:fill="F9FAFB"/>
            <w:tcMar>
              <w:top w:w="80" w:type="dxa"/>
              <w:left w:w="100" w:type="dxa"/>
              <w:bottom w:w="80" w:type="dxa"/>
              <w:right w:w="100" w:type="dxa"/>
            </w:tcMar>
          </w:tcPr>
          <w:p w14:paraId="501A2024" w14:textId="77777777" w:rsidR="00E14D8B" w:rsidRDefault="00000000">
            <w:pPr>
              <w:spacing w:after="40"/>
            </w:pPr>
            <w:r>
              <w:rPr>
                <w:sz w:val="18"/>
              </w:rPr>
              <w:t>Agoniste irréversible</w:t>
            </w:r>
          </w:p>
        </w:tc>
        <w:tc>
          <w:tcPr>
            <w:tcW w:w="2304" w:type="dxa"/>
            <w:shd w:val="clear" w:color="auto" w:fill="F9FAFB"/>
            <w:tcMar>
              <w:top w:w="80" w:type="dxa"/>
              <w:left w:w="100" w:type="dxa"/>
              <w:bottom w:w="80" w:type="dxa"/>
              <w:right w:w="100" w:type="dxa"/>
            </w:tcMar>
          </w:tcPr>
          <w:p w14:paraId="154FE909" w14:textId="77777777" w:rsidR="00E14D8B" w:rsidRDefault="00000000">
            <w:pPr>
              <w:spacing w:after="40"/>
            </w:pPr>
            <w:r>
              <w:rPr>
                <w:sz w:val="18"/>
              </w:rPr>
              <w:t>Désensibilisation canal sodique</w:t>
            </w:r>
          </w:p>
        </w:tc>
      </w:tr>
      <w:tr w:rsidR="00E14D8B" w14:paraId="1A7AA305" w14:textId="77777777">
        <w:trPr>
          <w:jc w:val="center"/>
        </w:trPr>
        <w:tc>
          <w:tcPr>
            <w:tcW w:w="2160" w:type="dxa"/>
            <w:shd w:val="clear" w:color="auto" w:fill="FFFFFF"/>
            <w:tcMar>
              <w:top w:w="80" w:type="dxa"/>
              <w:left w:w="100" w:type="dxa"/>
              <w:bottom w:w="80" w:type="dxa"/>
              <w:right w:w="100" w:type="dxa"/>
            </w:tcMar>
          </w:tcPr>
          <w:p w14:paraId="1AA01217" w14:textId="77777777" w:rsidR="00E14D8B" w:rsidRDefault="00000000">
            <w:pPr>
              <w:spacing w:after="40"/>
            </w:pPr>
            <w:r>
              <w:rPr>
                <w:sz w:val="18"/>
              </w:rPr>
              <w:lastRenderedPageBreak/>
              <w:t>Organochlorés</w:t>
            </w:r>
          </w:p>
        </w:tc>
        <w:tc>
          <w:tcPr>
            <w:tcW w:w="2592" w:type="dxa"/>
            <w:shd w:val="clear" w:color="auto" w:fill="FFFFFF"/>
            <w:tcMar>
              <w:top w:w="80" w:type="dxa"/>
              <w:left w:w="100" w:type="dxa"/>
              <w:bottom w:w="80" w:type="dxa"/>
              <w:right w:w="100" w:type="dxa"/>
            </w:tcMar>
          </w:tcPr>
          <w:p w14:paraId="09E2C1AB" w14:textId="77777777" w:rsidR="00E14D8B" w:rsidRDefault="00000000">
            <w:pPr>
              <w:spacing w:after="40"/>
            </w:pPr>
            <w:r>
              <w:rPr>
                <w:sz w:val="18"/>
              </w:rPr>
              <w:t>Canal Chlorure GABA</w:t>
            </w:r>
          </w:p>
        </w:tc>
        <w:tc>
          <w:tcPr>
            <w:tcW w:w="2304" w:type="dxa"/>
            <w:shd w:val="clear" w:color="auto" w:fill="FFFFFF"/>
            <w:tcMar>
              <w:top w:w="80" w:type="dxa"/>
              <w:left w:w="100" w:type="dxa"/>
              <w:bottom w:w="80" w:type="dxa"/>
              <w:right w:w="100" w:type="dxa"/>
            </w:tcMar>
          </w:tcPr>
          <w:p w14:paraId="5B2C7145" w14:textId="77777777" w:rsidR="00E14D8B" w:rsidRDefault="00000000">
            <w:pPr>
              <w:spacing w:after="40"/>
            </w:pPr>
            <w:r>
              <w:rPr>
                <w:sz w:val="18"/>
              </w:rPr>
              <w:t>Non-compétitive (Blocage canal)</w:t>
            </w:r>
          </w:p>
        </w:tc>
        <w:tc>
          <w:tcPr>
            <w:tcW w:w="2304" w:type="dxa"/>
            <w:shd w:val="clear" w:color="auto" w:fill="FFFFFF"/>
            <w:tcMar>
              <w:top w:w="80" w:type="dxa"/>
              <w:left w:w="100" w:type="dxa"/>
              <w:bottom w:w="80" w:type="dxa"/>
              <w:right w:w="100" w:type="dxa"/>
            </w:tcMar>
          </w:tcPr>
          <w:p w14:paraId="53024E17" w14:textId="77777777" w:rsidR="00E14D8B" w:rsidRDefault="00000000">
            <w:pPr>
              <w:spacing w:after="40"/>
            </w:pPr>
            <w:r>
              <w:rPr>
                <w:sz w:val="18"/>
              </w:rPr>
              <w:t>Hyperexcitation système nerveux</w:t>
            </w:r>
          </w:p>
        </w:tc>
      </w:tr>
    </w:tbl>
    <w:p w14:paraId="6DCCC869" w14:textId="77777777" w:rsidR="00E14D8B" w:rsidRDefault="00E14D8B">
      <w:pPr>
        <w:spacing w:after="120"/>
      </w:pPr>
    </w:p>
    <w:p w14:paraId="64315CED" w14:textId="77777777" w:rsidR="00E14D8B" w:rsidRDefault="00000000">
      <w:pPr>
        <w:pStyle w:val="Titre2"/>
        <w:spacing w:before="280" w:after="120"/>
      </w:pPr>
      <w:r>
        <w:rPr>
          <w:rFonts w:ascii="Calibri" w:hAnsi="Calibri"/>
          <w:color w:val="006666"/>
        </w:rPr>
        <w:t>Diapositive 20 : Mécanismes de Résistance Enzymatique</w:t>
      </w:r>
    </w:p>
    <w:p w14:paraId="54C6E8CE" w14:textId="77777777" w:rsidR="00E14D8B" w:rsidRDefault="00000000">
      <w:pPr>
        <w:spacing w:after="120"/>
      </w:pPr>
      <w:r>
        <w:rPr>
          <w:rFonts w:ascii="Calibri" w:hAnsi="Calibri"/>
          <w:color w:val="2A2F2D"/>
        </w:rPr>
        <w:t>Émergence de résistances cibles (mutations structurales du site actif) et de résistances métaboliques (sur-expression des Cytochromes P450 et Glutathion S-Transférases).</w:t>
      </w:r>
    </w:p>
    <w:p w14:paraId="6DDE1893" w14:textId="77777777" w:rsidR="00E14D8B" w:rsidRDefault="00000000">
      <w:pPr>
        <w:pStyle w:val="Titre1"/>
        <w:spacing w:before="360" w:after="160"/>
      </w:pPr>
      <w:r>
        <w:rPr>
          <w:rFonts w:ascii="Calibri" w:hAnsi="Calibri"/>
          <w:color w:val="1B2040"/>
        </w:rPr>
        <w:t>4. Partie III : Tests Enzymatiques, Biosenseurs &amp; Applications dans la Recherche (Diapositives 21 à 25)</w:t>
      </w:r>
    </w:p>
    <w:p w14:paraId="7C61B543" w14:textId="77777777" w:rsidR="00E14D8B" w:rsidRDefault="00000000">
      <w:pPr>
        <w:pStyle w:val="Titre2"/>
        <w:spacing w:before="280" w:after="120"/>
      </w:pPr>
      <w:r>
        <w:rPr>
          <w:rFonts w:ascii="Calibri" w:hAnsi="Calibri"/>
          <w:color w:val="006666"/>
        </w:rPr>
        <w:t>Diapositive 21 : Introduction à la Métrologie et au Diagnostic</w:t>
      </w:r>
    </w:p>
    <w:p w14:paraId="4B73C0E7" w14:textId="77777777" w:rsidR="00E14D8B" w:rsidRDefault="00000000">
      <w:pPr>
        <w:spacing w:after="120"/>
      </w:pPr>
      <w:r>
        <w:rPr>
          <w:rFonts w:ascii="Calibri" w:hAnsi="Calibri"/>
          <w:color w:val="2A2F2D"/>
        </w:rPr>
        <w:t>Présentation des outils analytiques permettant d'évaluer l'inhibition enzymatique en laboratoire et sur le terrain.</w:t>
      </w:r>
    </w:p>
    <w:p w14:paraId="32BC379C" w14:textId="77777777" w:rsidR="00E14D8B" w:rsidRDefault="00000000">
      <w:pPr>
        <w:pStyle w:val="Titre2"/>
        <w:spacing w:before="280" w:after="120"/>
      </w:pPr>
      <w:r>
        <w:rPr>
          <w:rFonts w:ascii="Calibri" w:hAnsi="Calibri"/>
          <w:color w:val="006666"/>
        </w:rPr>
        <w:t>Diapositive 22 : Le Test d'Ellman &amp; Spectrophotométrie (AChE)</w:t>
      </w:r>
    </w:p>
    <w:p w14:paraId="79AE1F67" w14:textId="77777777" w:rsidR="00E14D8B" w:rsidRDefault="00000000">
      <w:pPr>
        <w:spacing w:after="120"/>
      </w:pPr>
      <w:r>
        <w:rPr>
          <w:rFonts w:ascii="Calibri" w:hAnsi="Calibri"/>
          <w:color w:val="2A2F2D"/>
        </w:rPr>
        <w:t>Description du protocole colorimétrique d'Ellman (1961) : hydrolyse de l'acétylthiocholine (ATCh), réaction de la thiocholine avec le DTNB, formation du composé jaune TNB²⁻ mesuré à 412 nm. Détermination de la cinétique et de la valeur IC50.</w:t>
      </w:r>
    </w:p>
    <w:p w14:paraId="27F7BA6A" w14:textId="77777777" w:rsidR="00E14D8B" w:rsidRDefault="00000000">
      <w:pPr>
        <w:pStyle w:val="Titre2"/>
        <w:spacing w:before="280" w:after="120"/>
      </w:pPr>
      <w:r>
        <w:rPr>
          <w:rFonts w:ascii="Calibri" w:hAnsi="Calibri"/>
          <w:color w:val="006666"/>
        </w:rPr>
        <w:t>Diapositive 23 : Biocapteurs Enzymatiques &amp; Microfluidique (INRAE / CNRS)</w:t>
      </w:r>
    </w:p>
    <w:p w14:paraId="65B7420E" w14:textId="77777777" w:rsidR="00E14D8B" w:rsidRDefault="00000000">
      <w:pPr>
        <w:spacing w:after="120"/>
      </w:pPr>
      <w:r>
        <w:rPr>
          <w:rFonts w:ascii="Calibri" w:hAnsi="Calibri"/>
          <w:color w:val="2A2F2D"/>
        </w:rPr>
        <w:t>Développement d'électrodes fonctionnalisées (AChE / OPH) pour des mesures ampérométriques à ultra-traces. Intégration dans des dispositifs microfluidiques Lab-on-a-Chip pour diagnostic portable in situ.</w:t>
      </w:r>
    </w:p>
    <w:p w14:paraId="426E1337" w14:textId="77777777" w:rsidR="00E14D8B" w:rsidRDefault="00000000">
      <w:pPr>
        <w:pStyle w:val="Titre2"/>
        <w:spacing w:before="280" w:after="120"/>
      </w:pPr>
      <w:r>
        <w:rPr>
          <w:rFonts w:ascii="Calibri" w:hAnsi="Calibri"/>
          <w:color w:val="006666"/>
        </w:rPr>
        <w:t>Diapositive 24 : Biomarqueurs Enzymatiques chez les Espèces Sentinelles</w:t>
      </w:r>
    </w:p>
    <w:p w14:paraId="13E3EFB0" w14:textId="77777777" w:rsidR="00E14D8B" w:rsidRDefault="00000000">
      <w:pPr>
        <w:spacing w:after="120"/>
      </w:pPr>
      <w:r>
        <w:rPr>
          <w:rFonts w:ascii="Calibri" w:hAnsi="Calibri"/>
          <w:b/>
          <w:color w:val="2A2F2D"/>
        </w:rPr>
        <w:t xml:space="preserve">Abeilles (INRAE Avignon) : </w:t>
      </w:r>
      <w:r>
        <w:rPr>
          <w:rFonts w:ascii="Calibri" w:hAnsi="Calibri"/>
          <w:color w:val="2A2F2D"/>
        </w:rPr>
        <w:t>Mesure de l'AChE cérébrale chez Apis mellifera lors d'intoxications aiguës ou chroniques.</w:t>
      </w:r>
    </w:p>
    <w:p w14:paraId="2A6EEA16" w14:textId="77777777" w:rsidR="00E14D8B" w:rsidRDefault="00000000">
      <w:pPr>
        <w:spacing w:after="120"/>
      </w:pPr>
      <w:r>
        <w:rPr>
          <w:rFonts w:ascii="Calibri" w:hAnsi="Calibri"/>
          <w:b/>
          <w:color w:val="2A2F2D"/>
        </w:rPr>
        <w:t xml:space="preserve">Gammaridés (INRAE/INERIS) : </w:t>
      </w:r>
      <w:r>
        <w:rPr>
          <w:rFonts w:ascii="Calibri" w:hAnsi="Calibri"/>
          <w:color w:val="2A2F2D"/>
        </w:rPr>
        <w:t>Suivi de l'AChE, GST et EROD chez Gammarus pulex en rivières.</w:t>
      </w:r>
    </w:p>
    <w:p w14:paraId="7C171BD7" w14:textId="77777777" w:rsidR="00E14D8B" w:rsidRDefault="00000000">
      <w:pPr>
        <w:spacing w:after="120"/>
      </w:pPr>
      <w:r>
        <w:rPr>
          <w:rFonts w:ascii="Calibri" w:hAnsi="Calibri"/>
          <w:b/>
          <w:color w:val="2A2F2D"/>
        </w:rPr>
        <w:t xml:space="preserve">Milieu Marin (IFREMER) : </w:t>
      </w:r>
      <w:r>
        <w:rPr>
          <w:rFonts w:ascii="Calibri" w:hAnsi="Calibri"/>
          <w:color w:val="2A2F2D"/>
        </w:rPr>
        <w:t>Utilisation des moules comme bio-indicateurs marins de contamination cholinestérasique.</w:t>
      </w:r>
    </w:p>
    <w:p w14:paraId="1D93FCBF" w14:textId="77777777" w:rsidR="00E14D8B" w:rsidRDefault="00000000">
      <w:pPr>
        <w:pStyle w:val="Titre2"/>
        <w:spacing w:before="280" w:after="120"/>
      </w:pPr>
      <w:r>
        <w:rPr>
          <w:rFonts w:ascii="Calibri" w:hAnsi="Calibri"/>
          <w:color w:val="006666"/>
        </w:rPr>
        <w:t>Diapositive 25 : Screening Haut Débit (HTS) &amp; Régulation ANSES</w:t>
      </w:r>
    </w:p>
    <w:p w14:paraId="5153E5C1" w14:textId="77777777" w:rsidR="00E14D8B" w:rsidRDefault="00000000">
      <w:pPr>
        <w:spacing w:after="120"/>
      </w:pPr>
      <w:r>
        <w:rPr>
          <w:rFonts w:ascii="Calibri" w:hAnsi="Calibri"/>
          <w:color w:val="2A2F2D"/>
        </w:rPr>
        <w:t>Automatisation sur plaques 384 puits pour cribler la toxicité enzymatique de milliers de molécules candidates. Intégration réglementaire par l'ANSES et l'EFSA pour la sécurité sanitaire et l'homologation des produits de biocontrôle.</w:t>
      </w:r>
    </w:p>
    <w:sectPr w:rsidR="00E14D8B" w:rsidSect="00034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F418" w14:textId="77777777" w:rsidR="00BC660D" w:rsidRDefault="00BC660D">
      <w:pPr>
        <w:spacing w:after="0" w:line="240" w:lineRule="auto"/>
      </w:pPr>
      <w:r>
        <w:separator/>
      </w:r>
    </w:p>
  </w:endnote>
  <w:endnote w:type="continuationSeparator" w:id="0">
    <w:p w14:paraId="241A2C17" w14:textId="77777777" w:rsidR="00BC660D" w:rsidRDefault="00BC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B151" w14:textId="77777777" w:rsidR="00E14D8B" w:rsidRDefault="00000000">
    <w:pPr>
      <w:pStyle w:val="Pieddepage"/>
      <w:jc w:val="center"/>
    </w:pPr>
    <w:r>
      <w:rPr>
        <w:color w:val="5A6065"/>
        <w:sz w:val="18"/>
      </w:rPr>
      <w:t xml:space="preserve">Page </w:t>
    </w:r>
    <w:r>
      <w:fldChar w:fldCharType="begin"/>
    </w:r>
    <w:r>
      <w:instrText>PAGE</w:instrText>
    </w:r>
    <w:r>
      <w:fldChar w:fldCharType="separate"/>
    </w:r>
    <w:r w:rsidR="0028096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509A2" w14:textId="77777777" w:rsidR="00BC660D" w:rsidRDefault="00BC660D">
      <w:pPr>
        <w:spacing w:after="0" w:line="240" w:lineRule="auto"/>
      </w:pPr>
      <w:r>
        <w:separator/>
      </w:r>
    </w:p>
  </w:footnote>
  <w:footnote w:type="continuationSeparator" w:id="0">
    <w:p w14:paraId="76F9D214" w14:textId="77777777" w:rsidR="00BC660D" w:rsidRDefault="00BC6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7DFC" w14:textId="77777777" w:rsidR="00E14D8B" w:rsidRDefault="00000000">
    <w:pPr>
      <w:pStyle w:val="En-tte"/>
      <w:jc w:val="right"/>
    </w:pPr>
    <w:r>
      <w:rPr>
        <w:color w:val="5A6065"/>
        <w:sz w:val="17"/>
      </w:rPr>
      <w:t xml:space="preserve">Pesticides </w:t>
    </w:r>
    <w:proofErr w:type="spellStart"/>
    <w:r>
      <w:rPr>
        <w:color w:val="5A6065"/>
        <w:sz w:val="17"/>
      </w:rPr>
      <w:t>en</w:t>
    </w:r>
    <w:proofErr w:type="spellEnd"/>
    <w:r>
      <w:rPr>
        <w:color w:val="5A6065"/>
        <w:sz w:val="17"/>
      </w:rPr>
      <w:t xml:space="preserve"> France &amp; </w:t>
    </w:r>
    <w:proofErr w:type="spellStart"/>
    <w:r>
      <w:rPr>
        <w:color w:val="5A6065"/>
        <w:sz w:val="17"/>
      </w:rPr>
      <w:t>Biochimie</w:t>
    </w:r>
    <w:proofErr w:type="spellEnd"/>
    <w:r>
      <w:rPr>
        <w:color w:val="5A6065"/>
        <w:sz w:val="17"/>
      </w:rPr>
      <w:t xml:space="preserve"> </w:t>
    </w:r>
    <w:proofErr w:type="spellStart"/>
    <w:r>
      <w:rPr>
        <w:color w:val="5A6065"/>
        <w:sz w:val="17"/>
      </w:rPr>
      <w:t>Enzymatique</w:t>
    </w:r>
    <w:proofErr w:type="spellEnd"/>
    <w:r>
      <w:rPr>
        <w:color w:val="5A6065"/>
        <w:sz w:val="17"/>
      </w:rPr>
      <w:t xml:space="preserve"> — Guide du </w:t>
    </w:r>
    <w:proofErr w:type="spellStart"/>
    <w:r>
      <w:rPr>
        <w:color w:val="5A6065"/>
        <w:sz w:val="17"/>
      </w:rPr>
      <w:t>Formateur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48263103">
    <w:abstractNumId w:val="8"/>
  </w:num>
  <w:num w:numId="2" w16cid:durableId="1191071879">
    <w:abstractNumId w:val="6"/>
  </w:num>
  <w:num w:numId="3" w16cid:durableId="356853055">
    <w:abstractNumId w:val="5"/>
  </w:num>
  <w:num w:numId="4" w16cid:durableId="604457974">
    <w:abstractNumId w:val="4"/>
  </w:num>
  <w:num w:numId="5" w16cid:durableId="928855828">
    <w:abstractNumId w:val="7"/>
  </w:num>
  <w:num w:numId="6" w16cid:durableId="1984190044">
    <w:abstractNumId w:val="3"/>
  </w:num>
  <w:num w:numId="7" w16cid:durableId="186022951">
    <w:abstractNumId w:val="2"/>
  </w:num>
  <w:num w:numId="8" w16cid:durableId="1170489296">
    <w:abstractNumId w:val="1"/>
  </w:num>
  <w:num w:numId="9" w16cid:durableId="2021347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0966"/>
    <w:rsid w:val="0029639D"/>
    <w:rsid w:val="00326F90"/>
    <w:rsid w:val="004C1F46"/>
    <w:rsid w:val="007E37DC"/>
    <w:rsid w:val="00AA1D8D"/>
    <w:rsid w:val="00B47730"/>
    <w:rsid w:val="00BC660D"/>
    <w:rsid w:val="00BD06F3"/>
    <w:rsid w:val="00CB0664"/>
    <w:rsid w:val="00CF32A7"/>
    <w:rsid w:val="00E14D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FC9FD"/>
  <w14:defaultImageDpi w14:val="300"/>
  <w15:docId w15:val="{BB6A89D6-7EEF-47AE-B47D-52346E86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1647</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Philippe ASTIC</cp:lastModifiedBy>
  <cp:revision>4</cp:revision>
  <cp:lastPrinted>2026-09-16T09:54:00Z</cp:lastPrinted>
  <dcterms:created xsi:type="dcterms:W3CDTF">2026-09-12T15:57:00Z</dcterms:created>
  <dcterms:modified xsi:type="dcterms:W3CDTF">2026-09-16T09:54:00Z</dcterms:modified>
  <cp:category/>
</cp:coreProperties>
</file>