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BBF4" w14:textId="663D2B92" w:rsidR="001F0D14" w:rsidRPr="000C2CC7" w:rsidRDefault="001F0D14" w:rsidP="001F0D14">
      <w:pPr>
        <w:jc w:val="center"/>
        <w:rPr>
          <w:b/>
          <w:bCs/>
          <w:sz w:val="72"/>
          <w:szCs w:val="72"/>
        </w:rPr>
      </w:pPr>
      <w:r w:rsidRPr="000C2CC7">
        <w:rPr>
          <w:b/>
          <w:bCs/>
          <w:sz w:val="72"/>
          <w:szCs w:val="72"/>
        </w:rPr>
        <w:t xml:space="preserve">BTSA </w:t>
      </w:r>
      <w:proofErr w:type="spellStart"/>
      <w:r w:rsidRPr="000C2CC7">
        <w:rPr>
          <w:b/>
          <w:bCs/>
          <w:sz w:val="72"/>
          <w:szCs w:val="72"/>
        </w:rPr>
        <w:t>Anabiotec</w:t>
      </w:r>
      <w:proofErr w:type="spellEnd"/>
    </w:p>
    <w:p w14:paraId="24A08238" w14:textId="77777777" w:rsidR="001F0D14" w:rsidRPr="000C2CC7" w:rsidRDefault="001F0D14" w:rsidP="001F0D14">
      <w:pPr>
        <w:jc w:val="center"/>
        <w:rPr>
          <w:b/>
          <w:bCs/>
          <w:sz w:val="72"/>
          <w:szCs w:val="72"/>
        </w:rPr>
      </w:pPr>
    </w:p>
    <w:p w14:paraId="56871132" w14:textId="67254E6A" w:rsidR="001F0D14" w:rsidRPr="000C2CC7" w:rsidRDefault="001F0D14" w:rsidP="001F0D14">
      <w:pPr>
        <w:jc w:val="center"/>
        <w:rPr>
          <w:b/>
          <w:bCs/>
          <w:sz w:val="72"/>
          <w:szCs w:val="72"/>
        </w:rPr>
      </w:pPr>
      <w:r w:rsidRPr="000C2CC7">
        <w:rPr>
          <w:b/>
          <w:bCs/>
          <w:sz w:val="72"/>
          <w:szCs w:val="72"/>
        </w:rPr>
        <w:t>2026 2027</w:t>
      </w:r>
    </w:p>
    <w:p w14:paraId="73359C46" w14:textId="5A14EE5D" w:rsidR="001F0D14" w:rsidRPr="000C2CC7" w:rsidRDefault="001F0D14" w:rsidP="00F5674A">
      <w:pPr>
        <w:jc w:val="center"/>
        <w:rPr>
          <w:b/>
          <w:bCs/>
          <w:sz w:val="72"/>
          <w:szCs w:val="72"/>
        </w:rPr>
      </w:pPr>
      <w:r w:rsidRPr="000C2CC7">
        <w:rPr>
          <w:b/>
          <w:bCs/>
          <w:sz w:val="72"/>
          <w:szCs w:val="72"/>
        </w:rPr>
        <w:t>Semestre 1</w:t>
      </w:r>
    </w:p>
    <w:p w14:paraId="2F15535C" w14:textId="61AF3A2B" w:rsidR="001F0D14" w:rsidRDefault="001F0D14" w:rsidP="00F5674A">
      <w:pPr>
        <w:jc w:val="center"/>
        <w:rPr>
          <w:b/>
          <w:bCs/>
          <w:sz w:val="72"/>
          <w:szCs w:val="72"/>
        </w:rPr>
      </w:pPr>
      <w:r w:rsidRPr="000C2CC7">
        <w:rPr>
          <w:b/>
          <w:bCs/>
          <w:sz w:val="72"/>
          <w:szCs w:val="72"/>
        </w:rPr>
        <w:t xml:space="preserve">Analyses </w:t>
      </w:r>
      <w:r w:rsidR="00F5674A">
        <w:rPr>
          <w:b/>
          <w:bCs/>
          <w:sz w:val="72"/>
          <w:szCs w:val="72"/>
        </w:rPr>
        <w:t xml:space="preserve">de laboratoire </w:t>
      </w:r>
      <w:r w:rsidRPr="000C2CC7">
        <w:rPr>
          <w:b/>
          <w:bCs/>
          <w:sz w:val="72"/>
          <w:szCs w:val="72"/>
        </w:rPr>
        <w:t>dans le secteur agroalimentaire.</w:t>
      </w:r>
    </w:p>
    <w:tbl>
      <w:tblPr>
        <w:tblStyle w:val="Grilledutableau"/>
        <w:tblW w:w="0" w:type="auto"/>
        <w:tblLook w:val="04A0" w:firstRow="1" w:lastRow="0" w:firstColumn="1" w:lastColumn="0" w:noHBand="0" w:noVBand="1"/>
      </w:tblPr>
      <w:tblGrid>
        <w:gridCol w:w="222"/>
        <w:gridCol w:w="5552"/>
        <w:gridCol w:w="3066"/>
        <w:gridCol w:w="222"/>
      </w:tblGrid>
      <w:tr w:rsidR="00F5674A" w14:paraId="0BCE75A5" w14:textId="77777777" w:rsidTr="00F5674A">
        <w:tc>
          <w:tcPr>
            <w:tcW w:w="585" w:type="dxa"/>
          </w:tcPr>
          <w:p w14:paraId="11ED1A08" w14:textId="77777777" w:rsidR="00F5674A" w:rsidRDefault="00F5674A" w:rsidP="00F5674A">
            <w:pPr>
              <w:jc w:val="center"/>
              <w:rPr>
                <w:b/>
                <w:bCs/>
                <w:sz w:val="72"/>
                <w:szCs w:val="72"/>
              </w:rPr>
            </w:pPr>
          </w:p>
        </w:tc>
        <w:tc>
          <w:tcPr>
            <w:tcW w:w="1856" w:type="dxa"/>
          </w:tcPr>
          <w:p w14:paraId="25327248" w14:textId="0DE97EE5" w:rsidR="00F5674A" w:rsidRDefault="00F5674A" w:rsidP="00F5674A">
            <w:pPr>
              <w:jc w:val="center"/>
              <w:rPr>
                <w:b/>
                <w:bCs/>
                <w:noProof/>
                <w:sz w:val="72"/>
                <w:szCs w:val="72"/>
              </w:rPr>
            </w:pPr>
            <w:r>
              <w:rPr>
                <w:noProof/>
              </w:rPr>
              <w:drawing>
                <wp:inline distT="0" distB="0" distL="0" distR="0" wp14:anchorId="51B5CFD6" wp14:editId="46F32ADF">
                  <wp:extent cx="3469005" cy="2317559"/>
                  <wp:effectExtent l="0" t="0" r="0" b="6985"/>
                  <wp:docPr id="2172954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1734" cy="2319382"/>
                          </a:xfrm>
                          <a:prstGeom prst="rect">
                            <a:avLst/>
                          </a:prstGeom>
                          <a:noFill/>
                        </pic:spPr>
                      </pic:pic>
                    </a:graphicData>
                  </a:graphic>
                </wp:inline>
              </w:drawing>
            </w:r>
          </w:p>
        </w:tc>
        <w:tc>
          <w:tcPr>
            <w:tcW w:w="6036" w:type="dxa"/>
          </w:tcPr>
          <w:p w14:paraId="500C6D10" w14:textId="05478E80" w:rsidR="00F5674A" w:rsidRDefault="00F5674A" w:rsidP="00F5674A">
            <w:pPr>
              <w:jc w:val="center"/>
              <w:rPr>
                <w:b/>
                <w:bCs/>
                <w:sz w:val="72"/>
                <w:szCs w:val="72"/>
              </w:rPr>
            </w:pPr>
            <w:r>
              <w:rPr>
                <w:b/>
                <w:bCs/>
                <w:noProof/>
                <w:sz w:val="72"/>
                <w:szCs w:val="72"/>
              </w:rPr>
              <w:drawing>
                <wp:inline distT="0" distB="0" distL="0" distR="0" wp14:anchorId="59217FCF" wp14:editId="22A04A8C">
                  <wp:extent cx="1853327" cy="1379220"/>
                  <wp:effectExtent l="0" t="0" r="0" b="0"/>
                  <wp:docPr id="8662424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1473" cy="1385282"/>
                          </a:xfrm>
                          <a:prstGeom prst="rect">
                            <a:avLst/>
                          </a:prstGeom>
                          <a:noFill/>
                        </pic:spPr>
                      </pic:pic>
                    </a:graphicData>
                  </a:graphic>
                </wp:inline>
              </w:drawing>
            </w:r>
          </w:p>
        </w:tc>
        <w:tc>
          <w:tcPr>
            <w:tcW w:w="585" w:type="dxa"/>
          </w:tcPr>
          <w:p w14:paraId="07C0D595" w14:textId="77777777" w:rsidR="00F5674A" w:rsidRDefault="00F5674A" w:rsidP="00F5674A">
            <w:pPr>
              <w:jc w:val="center"/>
              <w:rPr>
                <w:b/>
                <w:bCs/>
                <w:sz w:val="72"/>
                <w:szCs w:val="72"/>
              </w:rPr>
            </w:pPr>
          </w:p>
        </w:tc>
      </w:tr>
    </w:tbl>
    <w:p w14:paraId="65827D7C" w14:textId="77777777" w:rsidR="00F5674A" w:rsidRDefault="00F5674A" w:rsidP="00F5674A">
      <w:pPr>
        <w:rPr>
          <w:b/>
          <w:bCs/>
          <w:sz w:val="72"/>
          <w:szCs w:val="72"/>
        </w:rPr>
      </w:pPr>
    </w:p>
    <w:p w14:paraId="4FCEF6E1" w14:textId="77777777" w:rsidR="00F5674A" w:rsidRDefault="00F5674A" w:rsidP="00F5674A">
      <w:pPr>
        <w:jc w:val="center"/>
      </w:pPr>
    </w:p>
    <w:p w14:paraId="62FC67EB" w14:textId="5FAE3900" w:rsidR="001F0D14" w:rsidRPr="00F5674A" w:rsidRDefault="001F0D14" w:rsidP="00F5674A">
      <w:pPr>
        <w:jc w:val="center"/>
        <w:rPr>
          <w:i/>
          <w:iCs/>
          <w:sz w:val="18"/>
          <w:szCs w:val="18"/>
        </w:rPr>
      </w:pPr>
      <w:r w:rsidRPr="00F5674A">
        <w:rPr>
          <w:i/>
          <w:iCs/>
          <w:sz w:val="18"/>
          <w:szCs w:val="18"/>
        </w:rPr>
        <w:t>Cou</w:t>
      </w:r>
      <w:r w:rsidR="00F5674A">
        <w:rPr>
          <w:i/>
          <w:iCs/>
          <w:sz w:val="18"/>
          <w:szCs w:val="18"/>
        </w:rPr>
        <w:t>r</w:t>
      </w:r>
      <w:r w:rsidRPr="00F5674A">
        <w:rPr>
          <w:i/>
          <w:iCs/>
          <w:sz w:val="18"/>
          <w:szCs w:val="18"/>
        </w:rPr>
        <w:t>s Philippe ASTIC.</w:t>
      </w:r>
    </w:p>
    <w:p w14:paraId="3015DF72" w14:textId="0CD71A29" w:rsidR="001F0D14" w:rsidRPr="00F5674A" w:rsidRDefault="001F0D14" w:rsidP="00F5674A">
      <w:pPr>
        <w:jc w:val="center"/>
        <w:rPr>
          <w:i/>
          <w:iCs/>
          <w:sz w:val="18"/>
          <w:szCs w:val="18"/>
        </w:rPr>
      </w:pPr>
      <w:r w:rsidRPr="00F5674A">
        <w:rPr>
          <w:i/>
          <w:iCs/>
          <w:sz w:val="18"/>
          <w:szCs w:val="18"/>
        </w:rPr>
        <w:t>www.biotechnologies.education</w:t>
      </w:r>
    </w:p>
    <w:p w14:paraId="07328999" w14:textId="370A90FB" w:rsidR="001F0D14" w:rsidRDefault="001F0D14"/>
    <w:p w14:paraId="50895993" w14:textId="77777777" w:rsidR="001F0D14" w:rsidRPr="001F0D14" w:rsidRDefault="001F0D14" w:rsidP="001F0D14">
      <w:pPr>
        <w:jc w:val="both"/>
      </w:pPr>
      <w:r w:rsidRPr="001F0D14">
        <w:t>L’</w:t>
      </w:r>
      <w:r w:rsidRPr="001F0D14">
        <w:rPr>
          <w:b/>
          <w:bCs/>
        </w:rPr>
        <w:t>agroalimentaire</w:t>
      </w:r>
      <w:r w:rsidRPr="001F0D14">
        <w:t> constitue l’un des piliers essentiels de l’économie française et mondiale. En 2026, ce secteur stratégique assure non seulement la transformation des matières premières agricoles en </w:t>
      </w:r>
      <w:r w:rsidRPr="001F0D14">
        <w:rPr>
          <w:b/>
          <w:bCs/>
        </w:rPr>
        <w:t>produits agroalimentaires</w:t>
      </w:r>
      <w:r w:rsidRPr="001F0D14">
        <w:t> destinés à la consommation, mais représente également un enjeu majeur en termes d’emploi, d’innovation et de souveraineté alimentaire. Des exploitations agricoles jusqu’aux rayons des supermarchés, l’industrie </w:t>
      </w:r>
      <w:proofErr w:type="spellStart"/>
      <w:r w:rsidRPr="001F0D14">
        <w:rPr>
          <w:b/>
          <w:bCs/>
        </w:rPr>
        <w:t>agro alimentaire</w:t>
      </w:r>
      <w:proofErr w:type="spellEnd"/>
      <w:r w:rsidRPr="001F0D14">
        <w:t> mobilise des technologies avancées, des normes d’hygiène strictes et des processus de production sophistiqués au sein de nombreuses </w:t>
      </w:r>
      <w:r w:rsidRPr="001F0D14">
        <w:rPr>
          <w:b/>
          <w:bCs/>
        </w:rPr>
        <w:t>usines agroalimentaires</w:t>
      </w:r>
      <w:r w:rsidRPr="001F0D14">
        <w:t>. Face aux défis contemporains que sont la transition écologique, la traçabilité des produits et les attentes croissantes des consommateurs en matière de qualité et de durabilité, le secteur connaît une transformation profonde. Cet article explore en détail les différentes facettes de l’industrie agroalimentaire : sa définition, ses secteurs d’activité, ses leaders français, ses processus de production, les normes qui l’encadrent et les innovations qui façonnent son avenir.</w:t>
      </w:r>
    </w:p>
    <w:p w14:paraId="403E2A1A" w14:textId="77777777" w:rsidR="001F0D14" w:rsidRPr="001F0D14" w:rsidRDefault="001F0D14" w:rsidP="001F0D14">
      <w:pPr>
        <w:rPr>
          <w:b/>
          <w:bCs/>
        </w:rPr>
      </w:pPr>
      <w:r w:rsidRPr="001F0D14">
        <w:rPr>
          <w:b/>
          <w:bCs/>
        </w:rPr>
        <w:t>Qu’est-ce que le secteur agroalimentaire ? Définition et périmètre</w:t>
      </w:r>
    </w:p>
    <w:p w14:paraId="2BE20F26" w14:textId="77777777" w:rsidR="001F0D14" w:rsidRPr="001F0D14" w:rsidRDefault="001F0D14" w:rsidP="001F0D14">
      <w:pPr>
        <w:jc w:val="both"/>
      </w:pPr>
      <w:r w:rsidRPr="001F0D14">
        <w:t>Le secteur </w:t>
      </w:r>
      <w:r w:rsidRPr="001F0D14">
        <w:rPr>
          <w:b/>
          <w:bCs/>
        </w:rPr>
        <w:t>agroalimentaire</w:t>
      </w:r>
      <w:r w:rsidRPr="001F0D14">
        <w:t> englobe l’ensemble des activités économiques liées à la transformation de matières premières agricoles, d’élevage, de pêche et d’aquaculture en produits alimentaires destinés à la consommation humaine et animale. Cette chaîne de valeur complexe commence à la sortie de l’exploitation agricole et s’étend jusqu’à la distribution des produits finis.</w:t>
      </w:r>
    </w:p>
    <w:p w14:paraId="1A6BE745" w14:textId="77777777" w:rsidR="001F0D14" w:rsidRPr="001F0D14" w:rsidRDefault="001F0D14" w:rsidP="001F0D14">
      <w:pPr>
        <w:jc w:val="both"/>
      </w:pPr>
      <w:r w:rsidRPr="001F0D14">
        <w:t>Plus précisément, l’</w:t>
      </w:r>
      <w:r w:rsidRPr="001F0D14">
        <w:rPr>
          <w:b/>
          <w:bCs/>
        </w:rPr>
        <w:t>agroalimentaire</w:t>
      </w:r>
      <w:r w:rsidRPr="001F0D14">
        <w:t> regroupe toutes les opérations industrielles de collecte, stockage, conditionnement, transformation et commercialisation de denrées alimentaires. Il s’agit d’une industrie de transformation qui ajoute de la valeur aux produits bruts issus de l’agriculture. En 2026, le secteur représente le premier employeur industriel en France avec plus de 430 000 salariés répartis dans environ 17 500 entreprises.</w:t>
      </w:r>
    </w:p>
    <w:p w14:paraId="3893F9F7" w14:textId="77777777" w:rsidR="001F0D14" w:rsidRPr="001F0D14" w:rsidRDefault="001F0D14" w:rsidP="001F0D14">
      <w:pPr>
        <w:jc w:val="both"/>
      </w:pPr>
      <w:r w:rsidRPr="001F0D14">
        <w:t>Le périmètre du secteur </w:t>
      </w:r>
      <w:r w:rsidRPr="001F0D14">
        <w:rPr>
          <w:b/>
          <w:bCs/>
        </w:rPr>
        <w:t>agroalimentaire</w:t>
      </w:r>
      <w:r w:rsidRPr="001F0D14">
        <w:t> est large et diversifié. Il comprend aussi bien les grandes </w:t>
      </w:r>
      <w:r w:rsidRPr="001F0D14">
        <w:rPr>
          <w:b/>
          <w:bCs/>
        </w:rPr>
        <w:t>usines agroalimentaires</w:t>
      </w:r>
      <w:r w:rsidRPr="001F0D14">
        <w:t> produisant à l’échelle industrielle que les petites unités artisanales valorisant des productions locales. Les activités couvertes incluent la transformation de viandes, la fabrication de produits laitiers, la production de boissons, la transformation de fruits et légumes, la boulangerie-pâtisserie industrielle, ou encore la fabrication d’aliments pour animaux.</w:t>
      </w:r>
    </w:p>
    <w:p w14:paraId="1FE93F8A" w14:textId="77777777" w:rsidR="001F0D14" w:rsidRPr="001F0D14" w:rsidRDefault="001F0D14" w:rsidP="001F0D14">
      <w:r w:rsidRPr="001F0D14">
        <w:t>Cette industrie joue un rôle stratégique dans la sécurité alimentaire des populations et constitue un maillon essentiel entre le monde agricole et les consommateurs. Elle contribue significativement au PIB national et à la balance commerciale, la France étant traditionnellement un grand exportateur de </w:t>
      </w:r>
      <w:r w:rsidRPr="001F0D14">
        <w:rPr>
          <w:b/>
          <w:bCs/>
        </w:rPr>
        <w:t>produits agroalimentaires</w:t>
      </w:r>
      <w:r w:rsidRPr="001F0D14">
        <w:t> de qualité reconnus dans le monde entier.</w:t>
      </w:r>
    </w:p>
    <w:p w14:paraId="5727F39F" w14:textId="77777777" w:rsidR="001F0D14" w:rsidRDefault="001F0D14" w:rsidP="001F0D14">
      <w:pPr>
        <w:rPr>
          <w:b/>
          <w:bCs/>
        </w:rPr>
      </w:pPr>
    </w:p>
    <w:p w14:paraId="52375D8F" w14:textId="18A0429B" w:rsidR="001F0D14" w:rsidRPr="001F0D14" w:rsidRDefault="001F0D14" w:rsidP="001F0D14">
      <w:pPr>
        <w:rPr>
          <w:b/>
          <w:bCs/>
        </w:rPr>
      </w:pPr>
      <w:r w:rsidRPr="001F0D14">
        <w:rPr>
          <w:b/>
          <w:bCs/>
        </w:rPr>
        <w:t>Les différentes branches de l’industrie alimentaire</w:t>
      </w:r>
    </w:p>
    <w:p w14:paraId="310D1B48" w14:textId="77777777" w:rsidR="001F0D14" w:rsidRPr="001F0D14" w:rsidRDefault="001F0D14" w:rsidP="001F0D14">
      <w:pPr>
        <w:jc w:val="both"/>
      </w:pPr>
      <w:r w:rsidRPr="001F0D14">
        <w:t>L’industrie </w:t>
      </w:r>
      <w:proofErr w:type="spellStart"/>
      <w:r w:rsidRPr="001F0D14">
        <w:rPr>
          <w:b/>
          <w:bCs/>
        </w:rPr>
        <w:t>agro alimentaire</w:t>
      </w:r>
      <w:proofErr w:type="spellEnd"/>
      <w:r w:rsidRPr="001F0D14">
        <w:t> se structure en plusieurs branches distinctes, chacune présentant des caractéristiques techniques, économiques et réglementaires spécifiques. En 2026, on distingue généralement quatre grands secteurs principaux qui organisent cette filière.</w:t>
      </w:r>
    </w:p>
    <w:p w14:paraId="5EDC54F3" w14:textId="77777777" w:rsidR="001F0D14" w:rsidRPr="001F0D14" w:rsidRDefault="001F0D14" w:rsidP="001F0D14">
      <w:pPr>
        <w:rPr>
          <w:b/>
          <w:bCs/>
        </w:rPr>
      </w:pPr>
      <w:r w:rsidRPr="001F0D14">
        <w:rPr>
          <w:b/>
          <w:bCs/>
        </w:rPr>
        <w:t>La transformation des viandes</w:t>
      </w:r>
    </w:p>
    <w:p w14:paraId="45B3C62B" w14:textId="77777777" w:rsidR="001F0D14" w:rsidRPr="001F0D14" w:rsidRDefault="001F0D14" w:rsidP="001F0D14">
      <w:r w:rsidRPr="001F0D14">
        <w:t>La filière viande représente l’une des branches majeures de l’</w:t>
      </w:r>
      <w:r w:rsidRPr="001F0D14">
        <w:rPr>
          <w:b/>
          <w:bCs/>
        </w:rPr>
        <w:t>agroalimentaire</w:t>
      </w:r>
      <w:r w:rsidRPr="001F0D14">
        <w:t>. Elle comprend les activités d’abattage, de découpe, de transformation et de conditionnement des viandes bovines, porcines, ovines et de volailles. Cette branche inclut également la charcuterie, les plats préparés à base de viande et les produits élaborés.</w:t>
      </w:r>
    </w:p>
    <w:p w14:paraId="1CC63BEF" w14:textId="25B5496B" w:rsidR="001F0D14" w:rsidRPr="001F0D14" w:rsidRDefault="001F0D14" w:rsidP="001F0D14">
      <w:pPr>
        <w:jc w:val="both"/>
      </w:pPr>
      <w:r w:rsidRPr="001F0D14">
        <w:t>Les</w:t>
      </w:r>
      <w:r>
        <w:t xml:space="preserve"> </w:t>
      </w:r>
      <w:r w:rsidRPr="001F0D14">
        <w:rPr>
          <w:b/>
          <w:bCs/>
        </w:rPr>
        <w:t>usines agroalimentaires</w:t>
      </w:r>
      <w:r w:rsidRPr="001F0D14">
        <w:t> de cette filière doivent respecter des normes sanitaires particulièrement strictes, notamment en matière de chaîne du froid et de traçabilité des animaux. En 2026, la filière viande fait face à des enjeux importants liés au bien-être animal, à l’impact environnemental de l’élevage et à l’évolution des habitudes de consommation vers une alimentation plus diversifiée.</w:t>
      </w:r>
    </w:p>
    <w:p w14:paraId="7BF61145" w14:textId="77777777" w:rsidR="001F0D14" w:rsidRPr="001F0D14" w:rsidRDefault="001F0D14" w:rsidP="001F0D14">
      <w:pPr>
        <w:rPr>
          <w:b/>
          <w:bCs/>
        </w:rPr>
      </w:pPr>
      <w:r w:rsidRPr="001F0D14">
        <w:rPr>
          <w:b/>
          <w:bCs/>
        </w:rPr>
        <w:t>L’industrie laitière</w:t>
      </w:r>
    </w:p>
    <w:p w14:paraId="2A016EEA" w14:textId="36CE4A90" w:rsidR="001F0D14" w:rsidRPr="001F0D14" w:rsidRDefault="001F0D14" w:rsidP="001F0D14">
      <w:pPr>
        <w:jc w:val="both"/>
      </w:pPr>
      <w:r w:rsidRPr="001F0D14">
        <w:t xml:space="preserve">Le secteur laitier constitue un pilier historique de </w:t>
      </w:r>
      <w:proofErr w:type="gramStart"/>
      <w:r w:rsidRPr="001F0D14">
        <w:t>l’</w:t>
      </w:r>
      <w:r w:rsidRPr="001F0D14">
        <w:rPr>
          <w:b/>
          <w:bCs/>
        </w:rPr>
        <w:t>agroalimentaire</w:t>
      </w:r>
      <w:r w:rsidRPr="001F0D14">
        <w:t> </w:t>
      </w:r>
      <w:r>
        <w:t xml:space="preserve"> </w:t>
      </w:r>
      <w:r w:rsidRPr="001F0D14">
        <w:t>français</w:t>
      </w:r>
      <w:proofErr w:type="gramEnd"/>
      <w:r w:rsidRPr="001F0D14">
        <w:t>. Il transforme le lait collecté auprès des éleveurs en une multitude de </w:t>
      </w:r>
      <w:r w:rsidRPr="001F0D14">
        <w:rPr>
          <w:b/>
          <w:bCs/>
        </w:rPr>
        <w:t>produits agroalimentaires</w:t>
      </w:r>
      <w:r w:rsidRPr="001F0D14">
        <w:t> : lait de consommation, fromages, yaourts, crèmes, beurre, desserts lactés et ingrédients laitiers destinés à d’autres industries.</w:t>
      </w:r>
    </w:p>
    <w:p w14:paraId="1408E1C0" w14:textId="77777777" w:rsidR="001F0D14" w:rsidRPr="001F0D14" w:rsidRDefault="001F0D14" w:rsidP="001F0D14">
      <w:pPr>
        <w:jc w:val="both"/>
      </w:pPr>
      <w:r w:rsidRPr="001F0D14">
        <w:t xml:space="preserve">La France dispose d’un savoir-faire reconnu mondialement dans la production fromagère avec ses centaines d’appellations d’origine protégée. Les grandes coopératives et groupes industriels comme Lactalis ou </w:t>
      </w:r>
      <w:proofErr w:type="spellStart"/>
      <w:r w:rsidRPr="001F0D14">
        <w:t>Sodiaal</w:t>
      </w:r>
      <w:proofErr w:type="spellEnd"/>
      <w:r w:rsidRPr="001F0D14">
        <w:t xml:space="preserve"> dominent ce secteur, mais de nombreuses fromageries artisanales et PME maintiennent une tradition de qualité. Cette branche emploie des technologies de pointe en matière de pasteurisation, d’ultrafiltration et de fermentation.</w:t>
      </w:r>
    </w:p>
    <w:p w14:paraId="33C934F4" w14:textId="77777777" w:rsidR="001F0D14" w:rsidRPr="001F0D14" w:rsidRDefault="001F0D14" w:rsidP="001F0D14">
      <w:pPr>
        <w:rPr>
          <w:b/>
          <w:bCs/>
        </w:rPr>
      </w:pPr>
      <w:r w:rsidRPr="001F0D14">
        <w:rPr>
          <w:b/>
          <w:bCs/>
        </w:rPr>
        <w:t>La transformation des fruits et légumes</w:t>
      </w:r>
    </w:p>
    <w:p w14:paraId="490142F1" w14:textId="77777777" w:rsidR="001F0D14" w:rsidRPr="001F0D14" w:rsidRDefault="001F0D14" w:rsidP="001F0D14">
      <w:pPr>
        <w:jc w:val="both"/>
      </w:pPr>
      <w:r w:rsidRPr="001F0D14">
        <w:t>Cette branche englobe la transformation, le conditionnement et la conservation des fruits et légumes frais en produits dérivés : conserves, surgelés, jus de fruits, compotes, confitures, plats cuisinés végétariens et produits déshydratés. Les </w:t>
      </w:r>
      <w:r w:rsidRPr="001F0D14">
        <w:rPr>
          <w:b/>
          <w:bCs/>
        </w:rPr>
        <w:t>usines agroalimentaires</w:t>
      </w:r>
      <w:r w:rsidRPr="001F0D14">
        <w:t> de ce secteur sont souvent implantées à proximité des bassins de production agricole pour garantir la fraîcheur des matières premières.</w:t>
      </w:r>
    </w:p>
    <w:p w14:paraId="5071EA45" w14:textId="77777777" w:rsidR="001F0D14" w:rsidRPr="001F0D14" w:rsidRDefault="001F0D14" w:rsidP="001F0D14">
      <w:r w:rsidRPr="001F0D14">
        <w:t xml:space="preserve">En 2026, cette filière connaît une dynamique positive portée par les tendances de consommation favorisant les produits végétaux, les aliments santé et les alternatives </w:t>
      </w:r>
      <w:r w:rsidRPr="001F0D14">
        <w:lastRenderedPageBreak/>
        <w:t>végétariennes. L’innovation technologique permet de développer de nouveaux procédés de conservation préservant mieux les qualités nutritionnelles et organoleptiques des produits.</w:t>
      </w:r>
    </w:p>
    <w:p w14:paraId="3D354749" w14:textId="77777777" w:rsidR="001F0D14" w:rsidRPr="001F0D14" w:rsidRDefault="001F0D14" w:rsidP="001F0D14">
      <w:pPr>
        <w:rPr>
          <w:b/>
          <w:bCs/>
        </w:rPr>
      </w:pPr>
      <w:r w:rsidRPr="001F0D14">
        <w:rPr>
          <w:b/>
          <w:bCs/>
        </w:rPr>
        <w:t>Les boissons et autres secteurs</w:t>
      </w:r>
    </w:p>
    <w:p w14:paraId="3FFC9CC7" w14:textId="77777777" w:rsidR="001F0D14" w:rsidRPr="001F0D14" w:rsidRDefault="001F0D14" w:rsidP="001F0D14">
      <w:pPr>
        <w:jc w:val="both"/>
      </w:pPr>
      <w:r w:rsidRPr="001F0D14">
        <w:t>L’industrie des boissons représente une branche importante comprenant les eaux embouteillées, les boissons rafraîchissantes, les jus, les boissons alcoolisées (vins, bières, spiritueux) et les boissons chaudes. À ces trois grands secteurs s’ajoutent d’autres branches comme la boulangerie-pâtisserie industrielle, la chocolaterie-confiserie, les huiles et corps gras, les produits céréaliers, le sucre, ainsi que l’alimentation animale qui transforme des matières premières végétales et animales en aliments pour le bétail et les animaux de compagnie.</w:t>
      </w:r>
    </w:p>
    <w:p w14:paraId="59174F4A" w14:textId="77777777" w:rsidR="001F0D14" w:rsidRPr="001F0D14" w:rsidRDefault="001F0D14" w:rsidP="001F0D14">
      <w:r w:rsidRPr="001F0D14">
        <w:t>Chaque branche dispose de ses propres organisations professionnelles, de ses spécificités techniques et de ses défis particuliers en matière d’innovation, de réglementation et de développement durable.</w:t>
      </w:r>
    </w:p>
    <w:p w14:paraId="6E49B148" w14:textId="77777777" w:rsidR="001F0D14" w:rsidRPr="001F0D14" w:rsidRDefault="001F0D14" w:rsidP="001F0D14">
      <w:pPr>
        <w:rPr>
          <w:b/>
          <w:bCs/>
        </w:rPr>
      </w:pPr>
      <w:r w:rsidRPr="001F0D14">
        <w:rPr>
          <w:b/>
          <w:bCs/>
        </w:rPr>
        <w:t>Les leaders français de l’agroalimentaire</w:t>
      </w:r>
    </w:p>
    <w:p w14:paraId="1C230A79" w14:textId="77777777" w:rsidR="001F0D14" w:rsidRPr="001F0D14" w:rsidRDefault="001F0D14" w:rsidP="001F0D14">
      <w:pPr>
        <w:jc w:val="both"/>
      </w:pPr>
      <w:r w:rsidRPr="001F0D14">
        <w:t>La France compte plusieurs groupes </w:t>
      </w:r>
      <w:r w:rsidRPr="001F0D14">
        <w:rPr>
          <w:b/>
          <w:bCs/>
        </w:rPr>
        <w:t>agroalimentaires</w:t>
      </w:r>
      <w:r w:rsidRPr="001F0D14">
        <w:t> de dimension mondiale qui figurent parmi les leaders internationaux de leur secteur. Ces entreprises incarnent l’excellence française en matière de transformation alimentaire et rayonnent sur les cinq continents.</w:t>
      </w:r>
    </w:p>
    <w:p w14:paraId="07558C6B" w14:textId="77777777" w:rsidR="001F0D14" w:rsidRPr="001F0D14" w:rsidRDefault="001F0D14" w:rsidP="001F0D14">
      <w:pPr>
        <w:jc w:val="both"/>
      </w:pPr>
      <w:r w:rsidRPr="001F0D14">
        <w:rPr>
          <w:b/>
          <w:bCs/>
        </w:rPr>
        <w:t>Lactalis</w:t>
      </w:r>
      <w:r w:rsidRPr="001F0D14">
        <w:t> occupe en 2026 la position de plus gros groupe </w:t>
      </w:r>
      <w:r w:rsidRPr="001F0D14">
        <w:rPr>
          <w:b/>
          <w:bCs/>
        </w:rPr>
        <w:t>agroalimentaire</w:t>
      </w:r>
      <w:r w:rsidRPr="001F0D14">
        <w:t xml:space="preserve"> français et de numéro un mondial des produits laitiers. Fondé par la famille Besnier, ce groupe familial réalise un chiffre d’affaires dépassant les 28 milliards d’euros et emploie plus de 85 000 personnes dans le monde. Son portefeuille de marques inclut Président, Galbani, </w:t>
      </w:r>
      <w:proofErr w:type="spellStart"/>
      <w:r w:rsidRPr="001F0D14">
        <w:t>Parmalat</w:t>
      </w:r>
      <w:proofErr w:type="spellEnd"/>
      <w:r w:rsidRPr="001F0D14">
        <w:t xml:space="preserve">, Société, </w:t>
      </w:r>
      <w:proofErr w:type="spellStart"/>
      <w:r w:rsidRPr="001F0D14">
        <w:t>Bridel</w:t>
      </w:r>
      <w:proofErr w:type="spellEnd"/>
      <w:r w:rsidRPr="001F0D14">
        <w:t xml:space="preserve"> et de nombreuses autres enseignes reconnues. Lactalis est présent dans plus de 50 pays avec une stratégie de croissance basée sur les acquisitions et l’innovation produit.</w:t>
      </w:r>
    </w:p>
    <w:p w14:paraId="77F88AC8" w14:textId="77777777" w:rsidR="001F0D14" w:rsidRPr="001F0D14" w:rsidRDefault="001F0D14" w:rsidP="001F0D14">
      <w:pPr>
        <w:jc w:val="both"/>
      </w:pPr>
      <w:r w:rsidRPr="001F0D14">
        <w:rPr>
          <w:b/>
          <w:bCs/>
        </w:rPr>
        <w:t>Danone</w:t>
      </w:r>
      <w:r w:rsidRPr="001F0D14">
        <w:t> représente le deuxième acteur français majeur de l’</w:t>
      </w:r>
      <w:r w:rsidRPr="001F0D14">
        <w:rPr>
          <w:b/>
          <w:bCs/>
        </w:rPr>
        <w:t>agroalimentaire</w:t>
      </w:r>
      <w:r w:rsidRPr="001F0D14">
        <w:t>, positionné comme un leader mondial des produits laitiers frais, de l’eau embouteillée, de la nutrition infantile et de la nutrition médicale. Avec un chiffre d’affaires autour de 27 milliards d’euros en 2026, Danone se distingue par son engagement précoce dans la durabilité et son statut d’entreprise à mission. Le groupe mise sur l’innovation santé et le développement de produits à base végétale.</w:t>
      </w:r>
    </w:p>
    <w:p w14:paraId="14F1176A" w14:textId="77777777" w:rsidR="001F0D14" w:rsidRPr="001F0D14" w:rsidRDefault="001F0D14" w:rsidP="001F0D14">
      <w:pPr>
        <w:jc w:val="both"/>
      </w:pPr>
      <w:r w:rsidRPr="001F0D14">
        <w:t>D’autres grands noms français structurent le paysage </w:t>
      </w:r>
      <w:proofErr w:type="spellStart"/>
      <w:r w:rsidRPr="001F0D14">
        <w:rPr>
          <w:b/>
          <w:bCs/>
        </w:rPr>
        <w:t>agro alimentaire</w:t>
      </w:r>
      <w:proofErr w:type="spellEnd"/>
      <w:r w:rsidRPr="001F0D14">
        <w:t> national : </w:t>
      </w:r>
      <w:proofErr w:type="spellStart"/>
      <w:r w:rsidRPr="001F0D14">
        <w:rPr>
          <w:b/>
          <w:bCs/>
        </w:rPr>
        <w:t>Savencia</w:t>
      </w:r>
      <w:proofErr w:type="spellEnd"/>
      <w:r w:rsidRPr="001F0D14">
        <w:t> (ex-Bongrain) spécialisé dans les fromages, </w:t>
      </w:r>
      <w:r w:rsidRPr="001F0D14">
        <w:rPr>
          <w:b/>
          <w:bCs/>
        </w:rPr>
        <w:t>Bigard</w:t>
      </w:r>
      <w:r w:rsidRPr="001F0D14">
        <w:t> leader de la viande en France, </w:t>
      </w:r>
      <w:r w:rsidRPr="001F0D14">
        <w:rPr>
          <w:b/>
          <w:bCs/>
        </w:rPr>
        <w:t>Terrena</w:t>
      </w:r>
      <w:r w:rsidRPr="001F0D14">
        <w:t> coopérative agricole et agroalimentaire diversifiée, </w:t>
      </w:r>
      <w:r w:rsidRPr="001F0D14">
        <w:rPr>
          <w:b/>
          <w:bCs/>
        </w:rPr>
        <w:t>LDC</w:t>
      </w:r>
      <w:r w:rsidRPr="001F0D14">
        <w:t> (Loué, Maître Coq) dans la volaille, </w:t>
      </w:r>
      <w:r w:rsidRPr="001F0D14">
        <w:rPr>
          <w:b/>
          <w:bCs/>
        </w:rPr>
        <w:t>Avril</w:t>
      </w:r>
      <w:r w:rsidRPr="001F0D14">
        <w:t> dans les huiles et protéines végétales, ou encore </w:t>
      </w:r>
      <w:r w:rsidRPr="001F0D14">
        <w:rPr>
          <w:b/>
          <w:bCs/>
        </w:rPr>
        <w:t>Pernod Ricard</w:t>
      </w:r>
      <w:r w:rsidRPr="001F0D14">
        <w:t> dans les vins et spiritueux.</w:t>
      </w:r>
    </w:p>
    <w:p w14:paraId="001C019F" w14:textId="77777777" w:rsidR="001F0D14" w:rsidRPr="001F0D14" w:rsidRDefault="001F0D14" w:rsidP="001F0D14">
      <w:pPr>
        <w:jc w:val="both"/>
      </w:pPr>
      <w:r w:rsidRPr="001F0D14">
        <w:lastRenderedPageBreak/>
        <w:t>Ces groupes investissent massivement dans la recherche et développement, l’automatisation de leurs </w:t>
      </w:r>
      <w:r w:rsidRPr="001F0D14">
        <w:rPr>
          <w:b/>
          <w:bCs/>
        </w:rPr>
        <w:t>usines agroalimentaires</w:t>
      </w:r>
      <w:r w:rsidRPr="001F0D14">
        <w:t>, la digitalisation de leurs chaînes d’approvisionnement et le développement de nouvelles gammes répondant aux attentes des consommateurs en matière de santé, de naturalité et de responsabilité environnementale.</w:t>
      </w:r>
    </w:p>
    <w:p w14:paraId="4D76E882" w14:textId="77777777" w:rsidR="001F0D14" w:rsidRPr="001F0D14" w:rsidRDefault="001F0D14" w:rsidP="001F0D14">
      <w:pPr>
        <w:rPr>
          <w:b/>
          <w:bCs/>
        </w:rPr>
      </w:pPr>
      <w:r w:rsidRPr="001F0D14">
        <w:rPr>
          <w:b/>
          <w:bCs/>
        </w:rPr>
        <w:t>Le processus de production en usine agroalimentaire</w:t>
      </w:r>
    </w:p>
    <w:p w14:paraId="65C2A276" w14:textId="77777777" w:rsidR="001F0D14" w:rsidRPr="001F0D14" w:rsidRDefault="001F0D14" w:rsidP="001F0D14">
      <w:pPr>
        <w:jc w:val="both"/>
      </w:pPr>
      <w:r w:rsidRPr="001F0D14">
        <w:t>La fabrication de </w:t>
      </w:r>
      <w:r w:rsidRPr="001F0D14">
        <w:rPr>
          <w:b/>
          <w:bCs/>
        </w:rPr>
        <w:t>produits agroalimentaires</w:t>
      </w:r>
      <w:r w:rsidRPr="001F0D14">
        <w:t> au sein d’une </w:t>
      </w:r>
      <w:r w:rsidRPr="001F0D14">
        <w:rPr>
          <w:b/>
          <w:bCs/>
        </w:rPr>
        <w:t>usine agroalimentaire</w:t>
      </w:r>
      <w:r w:rsidRPr="001F0D14">
        <w:t> suit un enchaînement d’opérations rigoureusement contrôlées, depuis la réception des matières premières jusqu’à l’expédition des produits finis. Bien que chaque filière présente ses spécificités, on retrouve des étapes communes dans la plupart des processus de production.</w:t>
      </w:r>
    </w:p>
    <w:p w14:paraId="76DF6BEB" w14:textId="77777777" w:rsidR="001F0D14" w:rsidRPr="001F0D14" w:rsidRDefault="001F0D14" w:rsidP="001F0D14">
      <w:pPr>
        <w:jc w:val="both"/>
      </w:pPr>
      <w:r w:rsidRPr="001F0D14">
        <w:rPr>
          <w:b/>
          <w:bCs/>
        </w:rPr>
        <w:t>La réception et le stockage des matières premières</w:t>
      </w:r>
      <w:r w:rsidRPr="001F0D14">
        <w:t> constituent la première étape cruciale. Les matières premières agricoles arrivent à l’usine où elles font l’objet de contrôles qualité systématiques : vérification de la conformité, analyses microbiologiques, contrôle de la température, inspection visuelle. Selon leur nature, elles sont ensuite stockées dans des conditions appropriées (chambres froides, silos, entrepôts climatisés) en attendant leur transformation.</w:t>
      </w:r>
    </w:p>
    <w:p w14:paraId="743C1B84" w14:textId="77777777" w:rsidR="001F0D14" w:rsidRPr="001F0D14" w:rsidRDefault="001F0D14" w:rsidP="001F0D14">
      <w:pPr>
        <w:jc w:val="both"/>
      </w:pPr>
      <w:r w:rsidRPr="001F0D14">
        <w:rPr>
          <w:b/>
          <w:bCs/>
        </w:rPr>
        <w:t>La préparation et le traitement préliminaire</w:t>
      </w:r>
      <w:r w:rsidRPr="001F0D14">
        <w:t> incluent diverses opérations : nettoyage, tri, calibrage, découpe, épluchage, broyage ou désosse selon le type de produit. Ces étapes préparatoires sont aujourd’hui largement automatisées dans les grandes </w:t>
      </w:r>
      <w:r w:rsidRPr="001F0D14">
        <w:rPr>
          <w:b/>
          <w:bCs/>
        </w:rPr>
        <w:t>usines agroalimentaires</w:t>
      </w:r>
      <w:r w:rsidRPr="001F0D14">
        <w:t>, avec des machines de tri optique, des systèmes de découpe robotisés et des équipements de lavage haute performance.</w:t>
      </w:r>
    </w:p>
    <w:p w14:paraId="40F88E9D" w14:textId="77777777" w:rsidR="001F0D14" w:rsidRPr="001F0D14" w:rsidRDefault="001F0D14" w:rsidP="001F0D14">
      <w:pPr>
        <w:jc w:val="both"/>
      </w:pPr>
      <w:r w:rsidRPr="001F0D14">
        <w:rPr>
          <w:b/>
          <w:bCs/>
        </w:rPr>
        <w:t>La transformation proprement dite</w:t>
      </w:r>
      <w:r w:rsidRPr="001F0D14">
        <w:t> applique les processus spécifiques à chaque type de produit : cuisson, pasteurisation, stérilisation, fermentation, extraction, mélange, pétrissage, émulsification, ou encore extrusion. Ces opérations modifient les propriétés physico-chimiques des matières premières pour obtenir les caractéristiques souhaitées du produit fini. Les </w:t>
      </w:r>
      <w:r w:rsidRPr="001F0D14">
        <w:rPr>
          <w:b/>
          <w:bCs/>
        </w:rPr>
        <w:t>usines agroalimentaires</w:t>
      </w:r>
      <w:r w:rsidRPr="001F0D14">
        <w:t> modernes utilisent des technologies avancées permettant un contrôle précis des paramètres de fabrication (température, pression, temps, pH) pour garantir la constance de la qualité.</w:t>
      </w:r>
    </w:p>
    <w:p w14:paraId="1A83FA06" w14:textId="77777777" w:rsidR="001F0D14" w:rsidRPr="001F0D14" w:rsidRDefault="001F0D14" w:rsidP="001F0D14">
      <w:pPr>
        <w:jc w:val="both"/>
      </w:pPr>
      <w:r w:rsidRPr="001F0D14">
        <w:rPr>
          <w:b/>
          <w:bCs/>
        </w:rPr>
        <w:t>Le conditionnement et l’emballage</w:t>
      </w:r>
      <w:r w:rsidRPr="001F0D14">
        <w:t> protègent le produit, facilitent sa conservation et véhiculent les informations réglementaires et marketing. Les lignes de conditionnement automatisées peuvent remplir, sceller, étiqueter et regrouper des milliers d’unités par heure. Le choix des matériaux d’emballage fait l’objet d’une attention croissante en 2026, avec une transition vers des solutions plus durables, recyclables ou compostables.</w:t>
      </w:r>
    </w:p>
    <w:p w14:paraId="541B7B9D" w14:textId="77777777" w:rsidR="001F0D14" w:rsidRPr="001F0D14" w:rsidRDefault="001F0D14" w:rsidP="001F0D14">
      <w:pPr>
        <w:jc w:val="both"/>
      </w:pPr>
      <w:r w:rsidRPr="001F0D14">
        <w:rPr>
          <w:b/>
          <w:bCs/>
        </w:rPr>
        <w:t>Le contrôle qualité final et la traçabilité</w:t>
      </w:r>
      <w:r w:rsidRPr="001F0D14">
        <w:t xml:space="preserve"> interviennent avant l’expédition. Des échantillons sont prélevés et analysés pour vérifier la conformité aux spécifications. Chaque lot de production est identifié par un numéro unique permettant de tracer l’origine de toutes les matières premières utilisées, les étapes de fabrication et la </w:t>
      </w:r>
      <w:r w:rsidRPr="001F0D14">
        <w:lastRenderedPageBreak/>
        <w:t>destination des produits finis. Cette traçabilité bidirectionnelle est devenue un standard incontournable de l’industrie </w:t>
      </w:r>
      <w:r w:rsidRPr="001F0D14">
        <w:rPr>
          <w:b/>
          <w:bCs/>
        </w:rPr>
        <w:t>agroalimentaire</w:t>
      </w:r>
      <w:r w:rsidRPr="001F0D14">
        <w:t>.</w:t>
      </w:r>
    </w:p>
    <w:p w14:paraId="3D622228" w14:textId="77777777" w:rsidR="001F0D14" w:rsidRPr="001F0D14" w:rsidRDefault="001F0D14" w:rsidP="001F0D14">
      <w:pPr>
        <w:jc w:val="both"/>
      </w:pPr>
      <w:r w:rsidRPr="001F0D14">
        <w:t>Enfin, </w:t>
      </w:r>
      <w:r w:rsidRPr="001F0D14">
        <w:rPr>
          <w:b/>
          <w:bCs/>
        </w:rPr>
        <w:t>le stockage et l’expédition</w:t>
      </w:r>
      <w:r w:rsidRPr="001F0D14">
        <w:t> des produits finis s’effectuent dans le respect de la chaîne du froid pour les produits réfrigérés ou surgelés. La logistique est optimisée pour réduire les délais entre production et distribution, garantissant ainsi la fraîcheur maximale des </w:t>
      </w:r>
      <w:r w:rsidRPr="001F0D14">
        <w:rPr>
          <w:b/>
          <w:bCs/>
        </w:rPr>
        <w:t>produits agroalimentaires</w:t>
      </w:r>
      <w:r w:rsidRPr="001F0D14">
        <w:t> livrés aux distributeurs et consommateurs.</w:t>
      </w:r>
    </w:p>
    <w:p w14:paraId="78C5367D" w14:textId="77777777" w:rsidR="001F0D14" w:rsidRPr="001F0D14" w:rsidRDefault="001F0D14" w:rsidP="001F0D14">
      <w:pPr>
        <w:rPr>
          <w:b/>
          <w:bCs/>
        </w:rPr>
      </w:pPr>
      <w:r w:rsidRPr="001F0D14">
        <w:rPr>
          <w:b/>
          <w:bCs/>
        </w:rPr>
        <w:t>Normes d’hygiène et de sécurité alimentaire</w:t>
      </w:r>
    </w:p>
    <w:p w14:paraId="40C85112" w14:textId="77777777" w:rsidR="001F0D14" w:rsidRPr="001F0D14" w:rsidRDefault="001F0D14" w:rsidP="001F0D14">
      <w:pPr>
        <w:jc w:val="both"/>
      </w:pPr>
      <w:r w:rsidRPr="001F0D14">
        <w:t>L’industrie </w:t>
      </w:r>
      <w:r w:rsidRPr="001F0D14">
        <w:rPr>
          <w:b/>
          <w:bCs/>
        </w:rPr>
        <w:t>agroalimentaire</w:t>
      </w:r>
      <w:r w:rsidRPr="001F0D14">
        <w:t> est soumise à un cadre réglementaire particulièrement exigeant en matière d’hygiène et de sécurité alimentaire. Ces normes visent à protéger la santé des consommateurs en prévenant les contaminations microbiologiques, chimiques ou physiques tout au long de la chaîne de production.</w:t>
      </w:r>
    </w:p>
    <w:p w14:paraId="5FDAFC86" w14:textId="77777777" w:rsidR="001F0D14" w:rsidRPr="001F0D14" w:rsidRDefault="001F0D14" w:rsidP="001F0D14">
      <w:pPr>
        <w:rPr>
          <w:b/>
          <w:bCs/>
        </w:rPr>
      </w:pPr>
      <w:r w:rsidRPr="001F0D14">
        <w:rPr>
          <w:b/>
          <w:bCs/>
        </w:rPr>
        <w:t>Le système HACCP</w:t>
      </w:r>
    </w:p>
    <w:p w14:paraId="6F168A7A" w14:textId="77777777" w:rsidR="001F0D14" w:rsidRPr="001F0D14" w:rsidRDefault="001F0D14" w:rsidP="001F0D14">
      <w:pPr>
        <w:jc w:val="both"/>
      </w:pPr>
      <w:r w:rsidRPr="001F0D14">
        <w:t>Le système </w:t>
      </w:r>
      <w:r w:rsidRPr="001F0D14">
        <w:rPr>
          <w:b/>
          <w:bCs/>
        </w:rPr>
        <w:t>HACCP</w:t>
      </w:r>
      <w:r w:rsidRPr="001F0D14">
        <w:t xml:space="preserve"> (Hazard </w:t>
      </w:r>
      <w:proofErr w:type="spellStart"/>
      <w:r w:rsidRPr="001F0D14">
        <w:t>Analysis</w:t>
      </w:r>
      <w:proofErr w:type="spellEnd"/>
      <w:r w:rsidRPr="001F0D14">
        <w:t xml:space="preserve"> Critical Control Point ou Analyse des Dangers et Points Critiques pour leur Maîtrise) constitue la méthode de référence mondiale pour garantir la sécurité sanitaire des aliments. Obligatoire dans toute </w:t>
      </w:r>
      <w:r w:rsidRPr="001F0D14">
        <w:rPr>
          <w:b/>
          <w:bCs/>
        </w:rPr>
        <w:t>usine agroalimentaire</w:t>
      </w:r>
      <w:r w:rsidRPr="001F0D14">
        <w:t> européenne, cette approche préventive identifie, évalue et maîtrise les dangers significatifs au regard de la sécurité des aliments.</w:t>
      </w:r>
    </w:p>
    <w:p w14:paraId="4ECB5671" w14:textId="77777777" w:rsidR="001F0D14" w:rsidRPr="001F0D14" w:rsidRDefault="001F0D14" w:rsidP="001F0D14">
      <w:r w:rsidRPr="001F0D14">
        <w:t>La démarche HACCP repose sur sept principes fondamentaux : l’analyse des dangers biologiques, chimiques et physiques ; l’identification des points critiques de contrôle (CCP) où un danger doit être maîtrisé ; l’établissement de limites critiques pour chaque CCP ; la mise en place de systèmes de surveillance ; la définition d’actions correctives ; l’établissement de procédures de vérification ; et la constitution d’un système documentaire.</w:t>
      </w:r>
    </w:p>
    <w:p w14:paraId="69C00B15" w14:textId="77777777" w:rsidR="001F0D14" w:rsidRPr="001F0D14" w:rsidRDefault="001F0D14" w:rsidP="001F0D14">
      <w:r w:rsidRPr="001F0D14">
        <w:t>En 2026, les </w:t>
      </w:r>
      <w:r w:rsidRPr="001F0D14">
        <w:rPr>
          <w:b/>
          <w:bCs/>
        </w:rPr>
        <w:t>usines agroalimentaires</w:t>
      </w:r>
      <w:r w:rsidRPr="001F0D14">
        <w:t> intègrent de plus en plus de capteurs connectés et d’intelligence artificielle pour automatiser la surveillance des points critiques et anticiper les dérives avant qu’elles ne produisent des non-conformités.</w:t>
      </w:r>
    </w:p>
    <w:p w14:paraId="07762343" w14:textId="77777777" w:rsidR="001F0D14" w:rsidRPr="001F0D14" w:rsidRDefault="001F0D14" w:rsidP="001F0D14">
      <w:pPr>
        <w:rPr>
          <w:b/>
          <w:bCs/>
        </w:rPr>
      </w:pPr>
      <w:r w:rsidRPr="001F0D14">
        <w:rPr>
          <w:b/>
          <w:bCs/>
        </w:rPr>
        <w:t>La norme ISO 22000</w:t>
      </w:r>
    </w:p>
    <w:p w14:paraId="5A3373C4" w14:textId="77777777" w:rsidR="001F0D14" w:rsidRPr="001F0D14" w:rsidRDefault="001F0D14" w:rsidP="001F0D14">
      <w:pPr>
        <w:jc w:val="both"/>
      </w:pPr>
      <w:r w:rsidRPr="001F0D14">
        <w:t>La norme internationale </w:t>
      </w:r>
      <w:r w:rsidRPr="001F0D14">
        <w:rPr>
          <w:b/>
          <w:bCs/>
        </w:rPr>
        <w:t>ISO 22000</w:t>
      </w:r>
      <w:r w:rsidRPr="001F0D14">
        <w:t> spécifie les exigences relatives à un système de management de la sécurité des denrées alimentaires. Elle intègre les principes HACCP dans un cadre de management plus large, aligné sur les autres normes ISO comme l’ISO 9001 (qualité) ou l’ISO 14001 (environnement).</w:t>
      </w:r>
    </w:p>
    <w:p w14:paraId="02ED096A" w14:textId="77777777" w:rsidR="001F0D14" w:rsidRPr="001F0D14" w:rsidRDefault="001F0D14" w:rsidP="001F0D14">
      <w:pPr>
        <w:jc w:val="both"/>
      </w:pPr>
      <w:r w:rsidRPr="001F0D14">
        <w:t>Cette certification, adoptée par de nombreuses </w:t>
      </w:r>
      <w:r w:rsidRPr="001F0D14">
        <w:rPr>
          <w:b/>
          <w:bCs/>
        </w:rPr>
        <w:t>usines agroalimentaires</w:t>
      </w:r>
      <w:r w:rsidRPr="001F0D14">
        <w:t xml:space="preserve"> en 2026, démontre l’engagement de l’entreprise dans une démarche d’amélioration continue de la sécurité alimentaire. Elle facilite également les relations commerciales internationales en constituant un référentiel reconnu mondialement. L’ISO 22000 couvre l’ensemble de </w:t>
      </w:r>
      <w:r w:rsidRPr="001F0D14">
        <w:lastRenderedPageBreak/>
        <w:t>la chaîne alimentaire, depuis les producteurs de matières premières jusqu’aux points de vente, en passant par les fabricants, transporteurs et distributeurs.</w:t>
      </w:r>
    </w:p>
    <w:p w14:paraId="5A8EC780" w14:textId="77777777" w:rsidR="001F0D14" w:rsidRPr="001F0D14" w:rsidRDefault="001F0D14" w:rsidP="001F0D14">
      <w:pPr>
        <w:rPr>
          <w:b/>
          <w:bCs/>
        </w:rPr>
      </w:pPr>
      <w:r w:rsidRPr="001F0D14">
        <w:rPr>
          <w:b/>
          <w:bCs/>
        </w:rPr>
        <w:t>Autres référentiels et bonnes pratiques</w:t>
      </w:r>
    </w:p>
    <w:p w14:paraId="328868D9" w14:textId="77777777" w:rsidR="001F0D14" w:rsidRPr="001F0D14" w:rsidRDefault="001F0D14" w:rsidP="001F0D14">
      <w:pPr>
        <w:jc w:val="both"/>
      </w:pPr>
      <w:r w:rsidRPr="001F0D14">
        <w:t>Au-delà de HACCP et ISO 22000, l’industrie </w:t>
      </w:r>
      <w:proofErr w:type="spellStart"/>
      <w:r w:rsidRPr="001F0D14">
        <w:rPr>
          <w:b/>
          <w:bCs/>
        </w:rPr>
        <w:t>agro alimentaire</w:t>
      </w:r>
      <w:proofErr w:type="spellEnd"/>
      <w:r w:rsidRPr="001F0D14">
        <w:t xml:space="preserve"> s’appuie sur de nombreux autres référentiels sectoriels : IFS (International </w:t>
      </w:r>
      <w:proofErr w:type="spellStart"/>
      <w:r w:rsidRPr="001F0D14">
        <w:t>Featured</w:t>
      </w:r>
      <w:proofErr w:type="spellEnd"/>
      <w:r w:rsidRPr="001F0D14">
        <w:t xml:space="preserve"> Standards), BRC (British </w:t>
      </w:r>
      <w:proofErr w:type="spellStart"/>
      <w:r w:rsidRPr="001F0D14">
        <w:t>Retail</w:t>
      </w:r>
      <w:proofErr w:type="spellEnd"/>
      <w:r w:rsidRPr="001F0D14">
        <w:t xml:space="preserve"> Consortium), FSSC 22000, ou encore des cahiers des charges spécifiques aux filières (Label Rouge, Agriculture Biologique, appellations d’origine).</w:t>
      </w:r>
    </w:p>
    <w:p w14:paraId="362B142A" w14:textId="77777777" w:rsidR="001F0D14" w:rsidRPr="001F0D14" w:rsidRDefault="001F0D14" w:rsidP="001F0D14">
      <w:pPr>
        <w:jc w:val="both"/>
      </w:pPr>
      <w:r w:rsidRPr="001F0D14">
        <w:t>Les bonnes pratiques d’hygiène (BPH) et les bonnes pratiques de fabrication (BPF) encadrent le quotidien opérationnel : hygiène du personnel (lavage des mains, tenues de travail, interdiction de bijoux), nettoyage et désinfection des équipements, lutte contre les nuisibles, maintenance préventive, formation continue du personnel, gestion des allergènes, ou encore séparation des flux pour éviter les contaminations croisées.</w:t>
      </w:r>
    </w:p>
    <w:p w14:paraId="2DB1661A" w14:textId="77777777" w:rsidR="001F0D14" w:rsidRPr="001F0D14" w:rsidRDefault="001F0D14" w:rsidP="001F0D14">
      <w:r w:rsidRPr="001F0D14">
        <w:t>Ces exigences normatives représentent un investissement significatif pour les entreprises, mais constituent un gage de sérieux indispensable dans un secteur où la confiance des consommateurs est primordiale.</w:t>
      </w:r>
    </w:p>
    <w:p w14:paraId="6ECFF293" w14:textId="77777777" w:rsidR="001F0D14" w:rsidRDefault="001F0D14"/>
    <w:p w14:paraId="65E7D725" w14:textId="11C2E4A6" w:rsidR="001F0D14" w:rsidRPr="002374DD" w:rsidRDefault="00F5674A">
      <w:pPr>
        <w:rPr>
          <w:b/>
          <w:bCs/>
          <w:sz w:val="48"/>
          <w:szCs w:val="48"/>
        </w:rPr>
      </w:pPr>
      <w:r w:rsidRPr="002374DD">
        <w:rPr>
          <w:b/>
          <w:bCs/>
          <w:sz w:val="48"/>
          <w:szCs w:val="48"/>
        </w:rPr>
        <w:t>Découverte n°1</w:t>
      </w:r>
    </w:p>
    <w:p w14:paraId="007DF4EC" w14:textId="77777777" w:rsidR="00F5674A" w:rsidRDefault="00F5674A"/>
    <w:p w14:paraId="41EE972C" w14:textId="39EFA56D" w:rsidR="001F0D14" w:rsidRPr="00F5674A" w:rsidRDefault="001F0D14" w:rsidP="00F5674A">
      <w:pPr>
        <w:pBdr>
          <w:top w:val="single" w:sz="4" w:space="1" w:color="auto"/>
          <w:left w:val="single" w:sz="4" w:space="4" w:color="auto"/>
          <w:bottom w:val="single" w:sz="4" w:space="1" w:color="auto"/>
          <w:right w:val="single" w:sz="4" w:space="4" w:color="auto"/>
        </w:pBdr>
        <w:jc w:val="center"/>
        <w:rPr>
          <w:b/>
          <w:bCs/>
          <w:sz w:val="48"/>
          <w:szCs w:val="48"/>
        </w:rPr>
      </w:pPr>
      <w:r w:rsidRPr="00F5674A">
        <w:rPr>
          <w:b/>
          <w:bCs/>
          <w:sz w:val="48"/>
          <w:szCs w:val="48"/>
        </w:rPr>
        <w:t>Visites d’entreprises avec Monsieur Lacaze.</w:t>
      </w:r>
    </w:p>
    <w:p w14:paraId="4F85B088" w14:textId="340B183C" w:rsidR="001F0D14" w:rsidRPr="00F5674A" w:rsidRDefault="001F0D14" w:rsidP="00F5674A">
      <w:pPr>
        <w:pBdr>
          <w:top w:val="single" w:sz="4" w:space="1" w:color="auto"/>
          <w:left w:val="single" w:sz="4" w:space="4" w:color="auto"/>
          <w:bottom w:val="single" w:sz="4" w:space="1" w:color="auto"/>
          <w:right w:val="single" w:sz="4" w:space="4" w:color="auto"/>
        </w:pBdr>
        <w:jc w:val="center"/>
        <w:rPr>
          <w:b/>
          <w:bCs/>
          <w:sz w:val="48"/>
          <w:szCs w:val="48"/>
        </w:rPr>
      </w:pPr>
      <w:r w:rsidRPr="00F5674A">
        <w:rPr>
          <w:b/>
          <w:bCs/>
          <w:sz w:val="48"/>
          <w:szCs w:val="48"/>
        </w:rPr>
        <w:t xml:space="preserve">Mardi 8 septembre </w:t>
      </w:r>
      <w:proofErr w:type="gramStart"/>
      <w:r w:rsidRPr="00F5674A">
        <w:rPr>
          <w:b/>
          <w:bCs/>
          <w:sz w:val="48"/>
          <w:szCs w:val="48"/>
        </w:rPr>
        <w:t>2026:</w:t>
      </w:r>
      <w:proofErr w:type="gramEnd"/>
    </w:p>
    <w:p w14:paraId="7694CFBB" w14:textId="33E8923D" w:rsidR="001F0D14" w:rsidRPr="00F5674A" w:rsidRDefault="001F0D14" w:rsidP="00F5674A">
      <w:pPr>
        <w:pBdr>
          <w:top w:val="single" w:sz="4" w:space="1" w:color="auto"/>
          <w:left w:val="single" w:sz="4" w:space="4" w:color="auto"/>
          <w:bottom w:val="single" w:sz="4" w:space="1" w:color="auto"/>
          <w:right w:val="single" w:sz="4" w:space="4" w:color="auto"/>
        </w:pBdr>
        <w:jc w:val="center"/>
        <w:rPr>
          <w:b/>
          <w:bCs/>
          <w:sz w:val="48"/>
          <w:szCs w:val="48"/>
        </w:rPr>
      </w:pPr>
      <w:r w:rsidRPr="00F5674A">
        <w:rPr>
          <w:b/>
          <w:bCs/>
          <w:sz w:val="48"/>
          <w:szCs w:val="48"/>
        </w:rPr>
        <w:t>Anneyron</w:t>
      </w:r>
    </w:p>
    <w:p w14:paraId="234A0A76" w14:textId="3C6A0E85" w:rsidR="001F0D14" w:rsidRPr="001F0D14" w:rsidRDefault="001F0D14" w:rsidP="00F5674A">
      <w:pPr>
        <w:pBdr>
          <w:top w:val="single" w:sz="4" w:space="1" w:color="auto"/>
          <w:left w:val="single" w:sz="4" w:space="4" w:color="auto"/>
          <w:bottom w:val="single" w:sz="4" w:space="1" w:color="auto"/>
          <w:right w:val="single" w:sz="4" w:space="4" w:color="auto"/>
        </w:pBdr>
        <w:jc w:val="center"/>
        <w:rPr>
          <w:b/>
          <w:bCs/>
          <w:sz w:val="72"/>
          <w:szCs w:val="72"/>
        </w:rPr>
      </w:pPr>
      <w:r w:rsidRPr="00F5674A">
        <w:rPr>
          <w:b/>
          <w:bCs/>
          <w:sz w:val="48"/>
          <w:szCs w:val="48"/>
        </w:rPr>
        <w:t>8h30 11h30</w:t>
      </w:r>
    </w:p>
    <w:sectPr w:rsidR="001F0D14" w:rsidRPr="001F0D1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034C8" w14:textId="77777777" w:rsidR="00D416EA" w:rsidRDefault="00D416EA" w:rsidP="001F0D14">
      <w:pPr>
        <w:spacing w:after="0" w:line="240" w:lineRule="auto"/>
      </w:pPr>
      <w:r>
        <w:separator/>
      </w:r>
    </w:p>
  </w:endnote>
  <w:endnote w:type="continuationSeparator" w:id="0">
    <w:p w14:paraId="6380B589" w14:textId="77777777" w:rsidR="00D416EA" w:rsidRDefault="00D416EA" w:rsidP="001F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2D1A" w14:textId="5AED944D" w:rsidR="00F5674A" w:rsidRDefault="00F5674A" w:rsidP="000C2CC7">
    <w:pPr>
      <w:pStyle w:val="Pieddepage"/>
      <w:jc w:val="center"/>
      <w:rPr>
        <w:sz w:val="20"/>
        <w:szCs w:val="20"/>
      </w:rPr>
    </w:pPr>
    <w:r>
      <w:rPr>
        <w:sz w:val="20"/>
        <w:szCs w:val="20"/>
      </w:rPr>
      <w:t xml:space="preserve">2026 2027. </w:t>
    </w:r>
    <w:r w:rsidR="001F0D14" w:rsidRPr="00F5674A">
      <w:rPr>
        <w:sz w:val="20"/>
        <w:szCs w:val="20"/>
      </w:rPr>
      <w:t xml:space="preserve">Eléments à connaître pour ce semestre 1 </w:t>
    </w:r>
  </w:p>
  <w:p w14:paraId="6E3D8261" w14:textId="6DE6BF84" w:rsidR="001F0D14" w:rsidRPr="00F5674A" w:rsidRDefault="00F5674A" w:rsidP="000C2CC7">
    <w:pPr>
      <w:pStyle w:val="Pieddepage"/>
      <w:jc w:val="center"/>
      <w:rPr>
        <w:sz w:val="20"/>
        <w:szCs w:val="20"/>
      </w:rPr>
    </w:pPr>
    <w:r w:rsidRPr="00F5674A">
      <w:rPr>
        <w:sz w:val="20"/>
        <w:szCs w:val="20"/>
      </w:rPr>
      <w:t xml:space="preserve">Page </w:t>
    </w:r>
    <w:r w:rsidRPr="00F5674A">
      <w:rPr>
        <w:b/>
        <w:bCs/>
        <w:sz w:val="20"/>
        <w:szCs w:val="20"/>
      </w:rPr>
      <w:fldChar w:fldCharType="begin"/>
    </w:r>
    <w:r w:rsidRPr="00F5674A">
      <w:rPr>
        <w:b/>
        <w:bCs/>
        <w:sz w:val="20"/>
        <w:szCs w:val="20"/>
      </w:rPr>
      <w:instrText>PAGE  \* Arabic  \* MERGEFORMAT</w:instrText>
    </w:r>
    <w:r w:rsidRPr="00F5674A">
      <w:rPr>
        <w:b/>
        <w:bCs/>
        <w:sz w:val="20"/>
        <w:szCs w:val="20"/>
      </w:rPr>
      <w:fldChar w:fldCharType="separate"/>
    </w:r>
    <w:r w:rsidRPr="00F5674A">
      <w:rPr>
        <w:b/>
        <w:bCs/>
        <w:sz w:val="20"/>
        <w:szCs w:val="20"/>
      </w:rPr>
      <w:t>1</w:t>
    </w:r>
    <w:r w:rsidRPr="00F5674A">
      <w:rPr>
        <w:b/>
        <w:bCs/>
        <w:sz w:val="20"/>
        <w:szCs w:val="20"/>
      </w:rPr>
      <w:fldChar w:fldCharType="end"/>
    </w:r>
    <w:r w:rsidRPr="00F5674A">
      <w:rPr>
        <w:sz w:val="20"/>
        <w:szCs w:val="20"/>
      </w:rPr>
      <w:t xml:space="preserve"> sur </w:t>
    </w:r>
    <w:r w:rsidRPr="00F5674A">
      <w:rPr>
        <w:b/>
        <w:bCs/>
        <w:sz w:val="20"/>
        <w:szCs w:val="20"/>
      </w:rPr>
      <w:fldChar w:fldCharType="begin"/>
    </w:r>
    <w:r w:rsidRPr="00F5674A">
      <w:rPr>
        <w:b/>
        <w:bCs/>
        <w:sz w:val="20"/>
        <w:szCs w:val="20"/>
      </w:rPr>
      <w:instrText>NUMPAGES  \* Arabic  \* MERGEFORMAT</w:instrText>
    </w:r>
    <w:r w:rsidRPr="00F5674A">
      <w:rPr>
        <w:b/>
        <w:bCs/>
        <w:sz w:val="20"/>
        <w:szCs w:val="20"/>
      </w:rPr>
      <w:fldChar w:fldCharType="separate"/>
    </w:r>
    <w:r w:rsidRPr="00F5674A">
      <w:rPr>
        <w:b/>
        <w:bCs/>
        <w:sz w:val="20"/>
        <w:szCs w:val="20"/>
      </w:rPr>
      <w:t>2</w:t>
    </w:r>
    <w:r w:rsidRPr="00F5674A">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69961" w14:textId="77777777" w:rsidR="00D416EA" w:rsidRDefault="00D416EA" w:rsidP="001F0D14">
      <w:pPr>
        <w:spacing w:after="0" w:line="240" w:lineRule="auto"/>
      </w:pPr>
      <w:r>
        <w:separator/>
      </w:r>
    </w:p>
  </w:footnote>
  <w:footnote w:type="continuationSeparator" w:id="0">
    <w:p w14:paraId="057052A4" w14:textId="77777777" w:rsidR="00D416EA" w:rsidRDefault="00D416EA" w:rsidP="001F0D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14"/>
    <w:rsid w:val="000C2CC7"/>
    <w:rsid w:val="001F0D14"/>
    <w:rsid w:val="002374DD"/>
    <w:rsid w:val="00A521D7"/>
    <w:rsid w:val="00D416EA"/>
    <w:rsid w:val="00F567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6342C"/>
  <w15:chartTrackingRefBased/>
  <w15:docId w15:val="{C50A17DC-31A2-4883-B05E-0AC1E5C96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F0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F0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F0D1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F0D1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F0D1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F0D1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F0D1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F0D1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F0D1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0D1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F0D1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F0D1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F0D1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F0D1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F0D1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F0D1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F0D1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F0D14"/>
    <w:rPr>
      <w:rFonts w:eastAsiaTheme="majorEastAsia" w:cstheme="majorBidi"/>
      <w:color w:val="272727" w:themeColor="text1" w:themeTint="D8"/>
    </w:rPr>
  </w:style>
  <w:style w:type="paragraph" w:styleId="Titre">
    <w:name w:val="Title"/>
    <w:basedOn w:val="Normal"/>
    <w:next w:val="Normal"/>
    <w:link w:val="TitreCar"/>
    <w:uiPriority w:val="10"/>
    <w:qFormat/>
    <w:rsid w:val="001F0D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F0D1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F0D1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F0D1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F0D14"/>
    <w:pPr>
      <w:spacing w:before="160"/>
      <w:jc w:val="center"/>
    </w:pPr>
    <w:rPr>
      <w:i/>
      <w:iCs/>
      <w:color w:val="404040" w:themeColor="text1" w:themeTint="BF"/>
    </w:rPr>
  </w:style>
  <w:style w:type="character" w:customStyle="1" w:styleId="CitationCar">
    <w:name w:val="Citation Car"/>
    <w:basedOn w:val="Policepardfaut"/>
    <w:link w:val="Citation"/>
    <w:uiPriority w:val="29"/>
    <w:rsid w:val="001F0D14"/>
    <w:rPr>
      <w:i/>
      <w:iCs/>
      <w:color w:val="404040" w:themeColor="text1" w:themeTint="BF"/>
    </w:rPr>
  </w:style>
  <w:style w:type="paragraph" w:styleId="Paragraphedeliste">
    <w:name w:val="List Paragraph"/>
    <w:basedOn w:val="Normal"/>
    <w:uiPriority w:val="34"/>
    <w:qFormat/>
    <w:rsid w:val="001F0D14"/>
    <w:pPr>
      <w:ind w:left="720"/>
      <w:contextualSpacing/>
    </w:pPr>
  </w:style>
  <w:style w:type="character" w:styleId="Accentuationintense">
    <w:name w:val="Intense Emphasis"/>
    <w:basedOn w:val="Policepardfaut"/>
    <w:uiPriority w:val="21"/>
    <w:qFormat/>
    <w:rsid w:val="001F0D14"/>
    <w:rPr>
      <w:i/>
      <w:iCs/>
      <w:color w:val="0F4761" w:themeColor="accent1" w:themeShade="BF"/>
    </w:rPr>
  </w:style>
  <w:style w:type="paragraph" w:styleId="Citationintense">
    <w:name w:val="Intense Quote"/>
    <w:basedOn w:val="Normal"/>
    <w:next w:val="Normal"/>
    <w:link w:val="CitationintenseCar"/>
    <w:uiPriority w:val="30"/>
    <w:qFormat/>
    <w:rsid w:val="001F0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F0D14"/>
    <w:rPr>
      <w:i/>
      <w:iCs/>
      <w:color w:val="0F4761" w:themeColor="accent1" w:themeShade="BF"/>
    </w:rPr>
  </w:style>
  <w:style w:type="character" w:styleId="Rfrenceintense">
    <w:name w:val="Intense Reference"/>
    <w:basedOn w:val="Policepardfaut"/>
    <w:uiPriority w:val="32"/>
    <w:qFormat/>
    <w:rsid w:val="001F0D14"/>
    <w:rPr>
      <w:b/>
      <w:bCs/>
      <w:smallCaps/>
      <w:color w:val="0F4761" w:themeColor="accent1" w:themeShade="BF"/>
      <w:spacing w:val="5"/>
    </w:rPr>
  </w:style>
  <w:style w:type="paragraph" w:styleId="En-tte">
    <w:name w:val="header"/>
    <w:basedOn w:val="Normal"/>
    <w:link w:val="En-tteCar"/>
    <w:uiPriority w:val="99"/>
    <w:unhideWhenUsed/>
    <w:rsid w:val="001F0D14"/>
    <w:pPr>
      <w:tabs>
        <w:tab w:val="center" w:pos="4536"/>
        <w:tab w:val="right" w:pos="9072"/>
      </w:tabs>
      <w:spacing w:after="0" w:line="240" w:lineRule="auto"/>
    </w:pPr>
  </w:style>
  <w:style w:type="character" w:customStyle="1" w:styleId="En-tteCar">
    <w:name w:val="En-tête Car"/>
    <w:basedOn w:val="Policepardfaut"/>
    <w:link w:val="En-tte"/>
    <w:uiPriority w:val="99"/>
    <w:rsid w:val="001F0D14"/>
  </w:style>
  <w:style w:type="paragraph" w:styleId="Pieddepage">
    <w:name w:val="footer"/>
    <w:basedOn w:val="Normal"/>
    <w:link w:val="PieddepageCar"/>
    <w:uiPriority w:val="99"/>
    <w:unhideWhenUsed/>
    <w:rsid w:val="001F0D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F0D14"/>
  </w:style>
  <w:style w:type="table" w:styleId="Grilledutableau">
    <w:name w:val="Table Grid"/>
    <w:basedOn w:val="TableauNormal"/>
    <w:uiPriority w:val="39"/>
    <w:rsid w:val="00F56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2294</Words>
  <Characters>12623</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ASTIC</dc:creator>
  <cp:keywords/>
  <dc:description/>
  <cp:lastModifiedBy>Philippe ASTIC</cp:lastModifiedBy>
  <cp:revision>2</cp:revision>
  <cp:lastPrinted>2026-09-02T09:03:00Z</cp:lastPrinted>
  <dcterms:created xsi:type="dcterms:W3CDTF">2026-09-02T08:45:00Z</dcterms:created>
  <dcterms:modified xsi:type="dcterms:W3CDTF">2026-09-02T09:08:00Z</dcterms:modified>
</cp:coreProperties>
</file>