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575E" w14:textId="77777777" w:rsidR="009B0991" w:rsidRDefault="009B0991"/>
    <w:p w14:paraId="609DA573" w14:textId="77777777" w:rsidR="009C04BC" w:rsidRDefault="009B0991" w:rsidP="009B0991">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color w:val="3E3E3F"/>
          <w:kern w:val="36"/>
          <w:sz w:val="48"/>
          <w:szCs w:val="48"/>
          <w:lang w:eastAsia="fr-FR"/>
        </w:rPr>
      </w:pPr>
      <w:r>
        <w:rPr>
          <w:rFonts w:ascii="Arial" w:eastAsia="Times New Roman" w:hAnsi="Arial" w:cs="Arial"/>
          <w:color w:val="3E3E3F"/>
          <w:kern w:val="36"/>
          <w:sz w:val="48"/>
          <w:szCs w:val="48"/>
          <w:lang w:eastAsia="fr-FR"/>
        </w:rPr>
        <w:t>Chapitre 2</w:t>
      </w:r>
    </w:p>
    <w:p w14:paraId="3E737004" w14:textId="10A597BD" w:rsidR="009B0991" w:rsidRDefault="009B0991" w:rsidP="009B0991">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color w:val="3E3E3F"/>
          <w:kern w:val="36"/>
          <w:sz w:val="48"/>
          <w:szCs w:val="48"/>
          <w:lang w:eastAsia="fr-FR"/>
        </w:rPr>
      </w:pPr>
      <w:r>
        <w:rPr>
          <w:rFonts w:ascii="Arial" w:eastAsia="Times New Roman" w:hAnsi="Arial" w:cs="Arial"/>
          <w:color w:val="3E3E3F"/>
          <w:kern w:val="36"/>
          <w:sz w:val="48"/>
          <w:szCs w:val="48"/>
          <w:lang w:eastAsia="fr-FR"/>
        </w:rPr>
        <w:t xml:space="preserve"> </w:t>
      </w:r>
      <w:r w:rsidRPr="009B0991">
        <w:rPr>
          <w:rFonts w:ascii="Arial" w:eastAsia="Times New Roman" w:hAnsi="Arial" w:cs="Arial"/>
          <w:color w:val="3E3E3F"/>
          <w:kern w:val="36"/>
          <w:sz w:val="48"/>
          <w:szCs w:val="48"/>
          <w:lang w:eastAsia="fr-FR"/>
        </w:rPr>
        <w:t>La typologie des risques</w:t>
      </w:r>
    </w:p>
    <w:p w14:paraId="3BBAE4F5" w14:textId="509E4BAF" w:rsidR="00B4430D" w:rsidRPr="00B4430D" w:rsidRDefault="00B4430D" w:rsidP="00B4430D">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Arial" w:eastAsia="Times New Roman" w:hAnsi="Arial" w:cs="Arial"/>
          <w:color w:val="3E3E3F"/>
          <w:kern w:val="36"/>
          <w:sz w:val="24"/>
          <w:szCs w:val="24"/>
          <w:lang w:eastAsia="fr-FR"/>
        </w:rPr>
      </w:pPr>
      <w:r>
        <w:rPr>
          <w:rFonts w:ascii="Arial" w:eastAsia="Times New Roman" w:hAnsi="Arial" w:cs="Arial"/>
          <w:color w:val="3E3E3F"/>
          <w:kern w:val="36"/>
          <w:sz w:val="24"/>
          <w:szCs w:val="24"/>
          <w:lang w:eastAsia="fr-FR"/>
        </w:rPr>
        <w:t>L'</w:t>
      </w:r>
      <w:proofErr w:type="spellStart"/>
      <w:r>
        <w:rPr>
          <w:rFonts w:ascii="Arial" w:eastAsia="Times New Roman" w:hAnsi="Arial" w:cs="Arial"/>
          <w:color w:val="3E3E3F"/>
          <w:kern w:val="36"/>
          <w:sz w:val="24"/>
          <w:szCs w:val="24"/>
          <w:lang w:eastAsia="fr-FR"/>
        </w:rPr>
        <w:t>Ineris</w:t>
      </w:r>
      <w:proofErr w:type="spellEnd"/>
      <w:r>
        <w:rPr>
          <w:rFonts w:ascii="Arial" w:eastAsia="Times New Roman" w:hAnsi="Arial" w:cs="Arial"/>
          <w:color w:val="3E3E3F"/>
          <w:kern w:val="36"/>
          <w:sz w:val="24"/>
          <w:szCs w:val="24"/>
          <w:lang w:eastAsia="fr-FR"/>
        </w:rPr>
        <w:t>, l'expert public pour la maîtrise des risques industriels et environnementaux</w:t>
      </w:r>
    </w:p>
    <w:p w14:paraId="6D9D0C23" w14:textId="77777777" w:rsidR="009B0991" w:rsidRPr="009B0991" w:rsidRDefault="009B0991" w:rsidP="009B0991">
      <w:pPr>
        <w:spacing w:after="0" w:line="240" w:lineRule="auto"/>
        <w:outlineLvl w:val="0"/>
        <w:rPr>
          <w:rFonts w:ascii="Arial" w:eastAsia="Times New Roman" w:hAnsi="Arial" w:cs="Arial"/>
          <w:color w:val="3E3E3F"/>
          <w:kern w:val="36"/>
          <w:sz w:val="48"/>
          <w:szCs w:val="48"/>
          <w:lang w:eastAsia="fr-FR"/>
        </w:rPr>
      </w:pPr>
    </w:p>
    <w:p w14:paraId="3CE78DE1" w14:textId="77777777" w:rsidR="009B0991" w:rsidRPr="009B0991" w:rsidRDefault="009B0991" w:rsidP="009B0991">
      <w:pPr>
        <w:shd w:val="clear" w:color="auto" w:fill="FFFFFF"/>
        <w:spacing w:after="0" w:line="240" w:lineRule="auto"/>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La question du risque est née dans le domaine de l’économie pour se généraliser rapidement à tous les domaines de la société. Pour se repérer dans ce vaste ensemble, il est naturel de chercher à classer les risques. Or il n’existe pas de typologie unique des risques. L’</w:t>
      </w:r>
      <w:proofErr w:type="spellStart"/>
      <w:r w:rsidRPr="009B0991">
        <w:rPr>
          <w:rFonts w:ascii="Arial" w:eastAsia="Times New Roman" w:hAnsi="Arial" w:cs="Arial"/>
          <w:color w:val="3E3E3F"/>
          <w:sz w:val="23"/>
          <w:szCs w:val="23"/>
          <w:lang w:eastAsia="fr-FR"/>
        </w:rPr>
        <w:t>Ineris</w:t>
      </w:r>
      <w:proofErr w:type="spellEnd"/>
      <w:r w:rsidRPr="009B0991">
        <w:rPr>
          <w:rFonts w:ascii="Arial" w:eastAsia="Times New Roman" w:hAnsi="Arial" w:cs="Arial"/>
          <w:color w:val="3E3E3F"/>
          <w:sz w:val="23"/>
          <w:szCs w:val="23"/>
          <w:lang w:eastAsia="fr-FR"/>
        </w:rPr>
        <w:t xml:space="preserve"> traite des risques d’atteintes à l’environnement, que l’on peut rapprocher des risques relevant de la sphère sociale.</w:t>
      </w:r>
    </w:p>
    <w:p w14:paraId="1A3AD1A0"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Dans le domaine des politiques publiques, les risques sont classés par catégories en fonction de plusieurs critères, à partir de considérations techniques, juridiques et administratives. Il n’y a donc pas une typologie mais des typologies de risque, selon que l’on s’intéresse à leurs domaines d’application, à leurs sources, aux cibles qu’ils affectent, à leurs degrés d’intensité ou aux effets qu’ils produisent.</w:t>
      </w:r>
    </w:p>
    <w:p w14:paraId="5D889548"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On distingue par exemple les risques individuels des risques collectifs, les risques militaires des risques civils, les risques économiques/financiers des risques sociaux et des risques politiques, les risques professionnels (monde du travail) des risques de la vie courante (sphère privée), les risques technologiques des risques naturels, etc.</w:t>
      </w:r>
    </w:p>
    <w:p w14:paraId="5BD3C0CC" w14:textId="77777777" w:rsidR="009B0991" w:rsidRPr="009B0991" w:rsidRDefault="009B0991" w:rsidP="009B0991">
      <w:pPr>
        <w:shd w:val="clear" w:color="auto" w:fill="FFFFFF"/>
        <w:spacing w:after="0" w:line="240" w:lineRule="auto"/>
        <w:outlineLvl w:val="1"/>
        <w:rPr>
          <w:rFonts w:ascii="Arial" w:eastAsia="Times New Roman" w:hAnsi="Arial" w:cs="Arial"/>
          <w:color w:val="10AA99"/>
          <w:sz w:val="36"/>
          <w:szCs w:val="36"/>
          <w:lang w:eastAsia="fr-FR"/>
        </w:rPr>
      </w:pPr>
      <w:r w:rsidRPr="009B0991">
        <w:rPr>
          <w:rFonts w:ascii="Arial" w:eastAsia="Times New Roman" w:hAnsi="Arial" w:cs="Arial"/>
          <w:color w:val="10AA99"/>
          <w:sz w:val="36"/>
          <w:szCs w:val="36"/>
          <w:lang w:eastAsia="fr-FR"/>
        </w:rPr>
        <w:t>Une typologie des risques pour la société civile</w:t>
      </w:r>
    </w:p>
    <w:p w14:paraId="6598438D"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Le « risque social » se définit comme la prise en charge par la collectivité de la prévention et/ou de la réparation d’un préjudice portant atteinte aux conditions de vie de tout ou partie du corps social. Dans ce domaine, la prise de conscience de la nécessaire gestion collective des risques est intimement liée au tournant de la première révolution industrielle, qui intervient en France dans la première moitié du XIX</w:t>
      </w:r>
      <w:r w:rsidRPr="009B0991">
        <w:rPr>
          <w:rFonts w:ascii="Arial" w:eastAsia="Times New Roman" w:hAnsi="Arial" w:cs="Arial"/>
          <w:color w:val="3E3E3F"/>
          <w:sz w:val="17"/>
          <w:szCs w:val="17"/>
          <w:vertAlign w:val="superscript"/>
          <w:lang w:eastAsia="fr-FR"/>
        </w:rPr>
        <w:t>e</w:t>
      </w:r>
      <w:r w:rsidRPr="009B0991">
        <w:rPr>
          <w:rFonts w:ascii="Arial" w:eastAsia="Times New Roman" w:hAnsi="Arial" w:cs="Arial"/>
          <w:color w:val="3E3E3F"/>
          <w:sz w:val="23"/>
          <w:szCs w:val="23"/>
          <w:lang w:eastAsia="fr-FR"/>
        </w:rPr>
        <w:t> siècle.</w:t>
      </w:r>
    </w:p>
    <w:p w14:paraId="1D645237" w14:textId="77777777" w:rsidR="009B0991" w:rsidRPr="009B0991" w:rsidRDefault="009B0991" w:rsidP="009B0991">
      <w:pPr>
        <w:shd w:val="clear" w:color="auto" w:fill="FFFFFF"/>
        <w:spacing w:after="450" w:line="240" w:lineRule="auto"/>
        <w:rPr>
          <w:rFonts w:ascii="Arial" w:eastAsia="Times New Roman" w:hAnsi="Arial" w:cs="Arial"/>
          <w:color w:val="3E3E3F"/>
          <w:sz w:val="23"/>
          <w:szCs w:val="23"/>
          <w:lang w:eastAsia="fr-FR"/>
        </w:rPr>
      </w:pPr>
    </w:p>
    <w:p w14:paraId="2CB2C13A" w14:textId="77777777" w:rsidR="009B0991" w:rsidRPr="009B0991" w:rsidRDefault="009B0991" w:rsidP="009B0991">
      <w:pPr>
        <w:shd w:val="clear" w:color="auto" w:fill="FFFFFF"/>
        <w:spacing w:after="450" w:line="240" w:lineRule="auto"/>
        <w:jc w:val="center"/>
        <w:rPr>
          <w:rFonts w:ascii="Arial" w:eastAsia="Times New Roman" w:hAnsi="Arial" w:cs="Arial"/>
          <w:color w:val="3E3E3F"/>
          <w:sz w:val="23"/>
          <w:szCs w:val="23"/>
          <w:lang w:eastAsia="fr-FR"/>
        </w:rPr>
      </w:pPr>
      <w:r w:rsidRPr="009B0991">
        <w:rPr>
          <w:rFonts w:ascii="Arial" w:eastAsia="Times New Roman" w:hAnsi="Arial" w:cs="Arial"/>
          <w:noProof/>
          <w:color w:val="3E3E3F"/>
          <w:sz w:val="23"/>
          <w:szCs w:val="23"/>
          <w:lang w:eastAsia="fr-FR"/>
        </w:rPr>
        <w:lastRenderedPageBreak/>
        <w:drawing>
          <wp:inline distT="0" distB="0" distL="0" distR="0" wp14:anchorId="7EAAB1D3" wp14:editId="7574E542">
            <wp:extent cx="4857750" cy="3162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162300"/>
                    </a:xfrm>
                    <a:prstGeom prst="rect">
                      <a:avLst/>
                    </a:prstGeom>
                    <a:noFill/>
                    <a:ln>
                      <a:noFill/>
                    </a:ln>
                  </pic:spPr>
                </pic:pic>
              </a:graphicData>
            </a:graphic>
          </wp:inline>
        </w:drawing>
      </w:r>
    </w:p>
    <w:p w14:paraId="60AB9F37" w14:textId="77777777" w:rsidR="009B0991" w:rsidRPr="009B0991" w:rsidRDefault="009B0991" w:rsidP="009B0991">
      <w:pPr>
        <w:shd w:val="clear" w:color="auto" w:fill="FFFFFF"/>
        <w:spacing w:after="0" w:line="293" w:lineRule="atLeast"/>
        <w:jc w:val="center"/>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Explosion de la poudrerie de Grenelle, 31 août 1794 (gravure du XIXe siècle)</w:t>
      </w:r>
    </w:p>
    <w:p w14:paraId="3307F652" w14:textId="77777777" w:rsidR="009B0991" w:rsidRPr="009B0991" w:rsidRDefault="009B0991" w:rsidP="009B0991">
      <w:pPr>
        <w:shd w:val="clear" w:color="auto" w:fill="FFFFFF"/>
        <w:spacing w:after="0" w:line="240" w:lineRule="auto"/>
        <w:jc w:val="center"/>
        <w:outlineLvl w:val="2"/>
        <w:rPr>
          <w:rFonts w:ascii="Arial" w:eastAsia="Times New Roman" w:hAnsi="Arial" w:cs="Arial"/>
          <w:color w:val="3E3E3F"/>
          <w:sz w:val="27"/>
          <w:szCs w:val="27"/>
          <w:lang w:eastAsia="fr-FR"/>
        </w:rPr>
      </w:pPr>
      <w:r w:rsidRPr="009B0991">
        <w:rPr>
          <w:rFonts w:ascii="Arial" w:eastAsia="Times New Roman" w:hAnsi="Arial" w:cs="Arial"/>
          <w:i/>
          <w:iCs/>
          <w:color w:val="3E3E3F"/>
          <w:sz w:val="27"/>
          <w:szCs w:val="27"/>
          <w:lang w:eastAsia="fr-FR"/>
        </w:rPr>
        <w:t>L’explosion de la poudrerie de Grenelle</w:t>
      </w:r>
    </w:p>
    <w:p w14:paraId="53816C7F"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i/>
          <w:iCs/>
          <w:color w:val="3E3E3F"/>
          <w:sz w:val="23"/>
          <w:szCs w:val="23"/>
          <w:lang w:eastAsia="fr-FR"/>
        </w:rPr>
        <w:t>En France, le premier grand accident industriel au sens moderne du terme survient le 31 août 1794 à Paris. La Terreur exige à cette époque une mobilisation forte et rapide de moyens armés. Dans cette perspective, le gouvernement révolutionnaire choisit de concentrer les moyens de production dans des lieux uniques et de tester de nouveaux procédés de fabrication, en particulier pour le raffinage du salpêtre (composé de la poudre) et pour la fabrication de poudre noire. A cet effet, une poudrerie est installée en février 1794 dans le château de Grenelle, près des Invalides. En juin, elle produit 30% de la poudre française ; ses cadences sont augmentées à la demande du Comité de Salut Public. Initialement conçue pour accueillir un peu moins de 700 ouvriers, la poudrerie en emploie près de 1 500 au début de l’été. Le 31 août, vers 7h00 du matin, elle est le théâtre d’une explosion qui fait plus de 500 morts et plus de 800 blessés. Des toitures sont endommagées dans le faubourg Saint Germain, des vitres explosent dans le quartier des Champs-Elysées, des débris de matériel sont retrouvés sur le Chemin de Saint-Denis, à plus de 10 km de distance. Il fallut un an pour réparer les dégâts causés à Paris.</w:t>
      </w:r>
    </w:p>
    <w:p w14:paraId="272C33A2" w14:textId="77777777" w:rsidR="009B0991" w:rsidRPr="009B0991" w:rsidRDefault="008704A0" w:rsidP="009B0991">
      <w:pPr>
        <w:shd w:val="clear" w:color="auto" w:fill="FFFFFF"/>
        <w:spacing w:after="450" w:line="240" w:lineRule="auto"/>
        <w:rPr>
          <w:rFonts w:ascii="Arial" w:eastAsia="Times New Roman" w:hAnsi="Arial" w:cs="Arial"/>
          <w:color w:val="3E3E3F"/>
          <w:sz w:val="23"/>
          <w:szCs w:val="23"/>
          <w:lang w:eastAsia="fr-FR"/>
        </w:rPr>
      </w:pPr>
      <w:r>
        <w:rPr>
          <w:rFonts w:ascii="Arial" w:eastAsia="Times New Roman" w:hAnsi="Arial" w:cs="Arial"/>
          <w:color w:val="3E3E3F"/>
          <w:sz w:val="23"/>
          <w:szCs w:val="23"/>
          <w:lang w:eastAsia="fr-FR"/>
        </w:rPr>
        <w:pict w14:anchorId="208C0DB0">
          <v:rect id="_x0000_i1025" style="width:0;height:0" o:hralign="center" o:hrstd="t" o:hr="t" fillcolor="#a0a0a0" stroked="f"/>
        </w:pict>
      </w:r>
    </w:p>
    <w:p w14:paraId="65C58C1D"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 xml:space="preserve">La protection sociale s’organise autour des questions de famille et logement, maladie, vieillesse, pauvreté, activité professionnelle… Parallèlement, de premières mesures sont prises pour assurer l’ordre public (notion intégrée au Code Civil en 1804), gérer le risque d’accident et de pollutions industriels (décret impérial du 15 octobre 1810) et pour protéger la santé publique (création des Conseils départementaux d’hygiène publique et de </w:t>
      </w:r>
      <w:r w:rsidRPr="009B0991">
        <w:rPr>
          <w:rFonts w:ascii="Arial" w:eastAsia="Times New Roman" w:hAnsi="Arial" w:cs="Arial"/>
          <w:color w:val="3E3E3F"/>
          <w:sz w:val="23"/>
          <w:szCs w:val="23"/>
          <w:lang w:eastAsia="fr-FR"/>
        </w:rPr>
        <w:lastRenderedPageBreak/>
        <w:t>salubrité à partir de 1802). A partir des années 1960 et 1970, avec l’émergence des politiques de protection de la nature, les risques liés aux atteintes à l’environnement prennent une importance nouvelle.</w:t>
      </w:r>
    </w:p>
    <w:p w14:paraId="669D3290" w14:textId="77777777" w:rsidR="009B0991" w:rsidRPr="009B0991" w:rsidRDefault="009B0991" w:rsidP="009B0991">
      <w:pPr>
        <w:shd w:val="clear" w:color="auto" w:fill="FFFFFF"/>
        <w:spacing w:after="0" w:line="240" w:lineRule="auto"/>
        <w:outlineLvl w:val="1"/>
        <w:rPr>
          <w:rFonts w:ascii="Arial" w:eastAsia="Times New Roman" w:hAnsi="Arial" w:cs="Arial"/>
          <w:color w:val="10AA99"/>
          <w:sz w:val="36"/>
          <w:szCs w:val="36"/>
          <w:lang w:eastAsia="fr-FR"/>
        </w:rPr>
      </w:pPr>
      <w:r w:rsidRPr="009B0991">
        <w:rPr>
          <w:rFonts w:ascii="Arial" w:eastAsia="Times New Roman" w:hAnsi="Arial" w:cs="Arial"/>
          <w:color w:val="10AA99"/>
          <w:sz w:val="36"/>
          <w:szCs w:val="36"/>
          <w:lang w:eastAsia="fr-FR"/>
        </w:rPr>
        <w:t>Les risques d’atteintes à l’environnement</w:t>
      </w:r>
    </w:p>
    <w:p w14:paraId="37A9AC15" w14:textId="77777777" w:rsidR="009B0991" w:rsidRPr="009B0991" w:rsidRDefault="009B0991" w:rsidP="009B0991">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9B0991">
        <w:rPr>
          <w:rFonts w:ascii="Arial" w:eastAsia="Times New Roman" w:hAnsi="Arial" w:cs="Arial"/>
          <w:color w:val="3E3E3F"/>
          <w:sz w:val="23"/>
          <w:szCs w:val="23"/>
          <w:lang w:eastAsia="fr-FR"/>
        </w:rPr>
        <w:t>La notion moderne de risque d’atteintes à l’environnement qui est au cœur des missions de l’</w:t>
      </w:r>
      <w:proofErr w:type="spellStart"/>
      <w:r w:rsidRPr="009B0991">
        <w:rPr>
          <w:rFonts w:ascii="Arial" w:eastAsia="Times New Roman" w:hAnsi="Arial" w:cs="Arial"/>
          <w:color w:val="3E3E3F"/>
          <w:sz w:val="23"/>
          <w:szCs w:val="23"/>
          <w:lang w:eastAsia="fr-FR"/>
        </w:rPr>
        <w:t>Ineris</w:t>
      </w:r>
      <w:proofErr w:type="spellEnd"/>
      <w:r w:rsidRPr="009B0991">
        <w:rPr>
          <w:rFonts w:ascii="Arial" w:eastAsia="Times New Roman" w:hAnsi="Arial" w:cs="Arial"/>
          <w:color w:val="3E3E3F"/>
          <w:sz w:val="23"/>
          <w:szCs w:val="23"/>
          <w:lang w:eastAsia="fr-FR"/>
        </w:rPr>
        <w:t xml:space="preserve"> s’appuie sur une acception large de la notion d’environnement, en cohérence avec l’usage qui est fait du terme dans les politiques publiques de gestion. L’environnement désigne à la fois les populations humaines, les biens matériels (infrastructures, habitations…) et les milieux naturels (faune et flore) qui peuvent être exposés à un risque donné. Dans ce cadre, le terme technique d</w:t>
      </w:r>
      <w:proofErr w:type="gramStart"/>
      <w:r w:rsidRPr="009B0991">
        <w:rPr>
          <w:rFonts w:ascii="Arial" w:eastAsia="Times New Roman" w:hAnsi="Arial" w:cs="Arial"/>
          <w:color w:val="3E3E3F"/>
          <w:sz w:val="23"/>
          <w:szCs w:val="23"/>
          <w:lang w:eastAsia="fr-FR"/>
        </w:rPr>
        <w:t>’«</w:t>
      </w:r>
      <w:proofErr w:type="gramEnd"/>
      <w:r w:rsidRPr="009B0991">
        <w:rPr>
          <w:rFonts w:ascii="Arial" w:eastAsia="Times New Roman" w:hAnsi="Arial" w:cs="Arial"/>
          <w:color w:val="3E3E3F"/>
          <w:sz w:val="23"/>
          <w:szCs w:val="23"/>
          <w:lang w:eastAsia="fr-FR"/>
        </w:rPr>
        <w:t xml:space="preserve"> enjeu », abstrait en langage courant, est généralement utilisé pour décrire les réalités concrètes exposées à un risque : une maison, une rivière, une route, les habitants d’un quartier, une école, une forêt, une zone commerciale..</w:t>
      </w:r>
    </w:p>
    <w:p w14:paraId="033B7F71" w14:textId="77777777" w:rsidR="009B0991" w:rsidRPr="009B0991" w:rsidRDefault="008704A0" w:rsidP="009B0991">
      <w:pPr>
        <w:shd w:val="clear" w:color="auto" w:fill="FFFFFF"/>
        <w:spacing w:after="450" w:line="240" w:lineRule="auto"/>
        <w:rPr>
          <w:rFonts w:ascii="Arial" w:eastAsia="Times New Roman" w:hAnsi="Arial" w:cs="Arial"/>
          <w:color w:val="3E3E3F"/>
          <w:sz w:val="23"/>
          <w:szCs w:val="23"/>
          <w:lang w:eastAsia="fr-FR"/>
        </w:rPr>
      </w:pPr>
      <w:r>
        <w:rPr>
          <w:rFonts w:ascii="Arial" w:eastAsia="Times New Roman" w:hAnsi="Arial" w:cs="Arial"/>
          <w:color w:val="3E3E3F"/>
          <w:sz w:val="23"/>
          <w:szCs w:val="23"/>
          <w:lang w:eastAsia="fr-FR"/>
        </w:rPr>
        <w:pict w14:anchorId="37F5E464">
          <v:rect id="_x0000_i1026" style="width:0;height:0" o:hralign="center" o:hrstd="t" o:hr="t" fillcolor="#a0a0a0" stroked="f"/>
        </w:pict>
      </w:r>
    </w:p>
    <w:p w14:paraId="1C94D56A" w14:textId="77777777" w:rsidR="009B0991" w:rsidRPr="009B0991" w:rsidRDefault="009B0991" w:rsidP="009B099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jc w:val="center"/>
        <w:rPr>
          <w:rFonts w:ascii="Arial" w:eastAsia="Times New Roman" w:hAnsi="Arial" w:cs="Arial"/>
          <w:color w:val="3E3E3F"/>
          <w:sz w:val="23"/>
          <w:szCs w:val="23"/>
          <w:lang w:eastAsia="fr-FR"/>
        </w:rPr>
      </w:pPr>
      <w:r w:rsidRPr="009B0991">
        <w:rPr>
          <w:rFonts w:ascii="Arial" w:eastAsia="Times New Roman" w:hAnsi="Arial" w:cs="Arial"/>
          <w:b/>
          <w:bCs/>
          <w:i/>
          <w:iCs/>
          <w:color w:val="3E3E3F"/>
          <w:sz w:val="23"/>
          <w:szCs w:val="23"/>
          <w:lang w:eastAsia="fr-FR"/>
        </w:rPr>
        <w:t>Aujourd’hui, les politiques publiques assurent la gestion de différentes catégories de risques de type social, principalement</w:t>
      </w:r>
      <w:r w:rsidRPr="009B0991">
        <w:rPr>
          <w:rFonts w:ascii="Arial" w:eastAsia="Times New Roman" w:hAnsi="Arial" w:cs="Arial"/>
          <w:i/>
          <w:iCs/>
          <w:color w:val="3E3E3F"/>
          <w:sz w:val="23"/>
          <w:szCs w:val="23"/>
          <w:lang w:eastAsia="fr-FR"/>
        </w:rPr>
        <w:t xml:space="preserve"> :</w:t>
      </w:r>
    </w:p>
    <w:p w14:paraId="14CC024E" w14:textId="77777777" w:rsidR="009B0991" w:rsidRPr="009B0991" w:rsidRDefault="008704A0" w:rsidP="009B0991">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Arial" w:eastAsia="Times New Roman" w:hAnsi="Arial" w:cs="Arial"/>
          <w:color w:val="3E3E3F"/>
          <w:sz w:val="23"/>
          <w:szCs w:val="23"/>
          <w:lang w:eastAsia="fr-FR"/>
        </w:rPr>
      </w:pPr>
      <w:hyperlink r:id="rId8" w:tgtFrame="_blank" w:history="1">
        <w:r w:rsidR="009B0991" w:rsidRPr="009B0991">
          <w:rPr>
            <w:rFonts w:ascii="Arial" w:eastAsia="Times New Roman" w:hAnsi="Arial" w:cs="Arial"/>
            <w:i/>
            <w:iCs/>
            <w:color w:val="10AA99"/>
            <w:sz w:val="23"/>
            <w:szCs w:val="23"/>
            <w:u w:val="single"/>
            <w:lang w:eastAsia="fr-FR"/>
          </w:rPr>
          <w:t>Les risques sociaux « traditionnels »</w:t>
        </w:r>
      </w:hyperlink>
      <w:r w:rsidR="009B0991" w:rsidRPr="009B0991">
        <w:rPr>
          <w:rFonts w:ascii="Arial" w:eastAsia="Times New Roman" w:hAnsi="Arial" w:cs="Arial"/>
          <w:i/>
          <w:iCs/>
          <w:color w:val="3E3E3F"/>
          <w:sz w:val="23"/>
          <w:szCs w:val="23"/>
          <w:lang w:eastAsia="fr-FR"/>
        </w:rPr>
        <w:t> : précarité, exclusion, dépendance des personnes âgées, instabilité des structures familiales, chômage de longue durée, déclassement social, accidents de travail et maladies professionnelles…</w:t>
      </w:r>
    </w:p>
    <w:p w14:paraId="718116B1" w14:textId="77777777" w:rsidR="009B0991" w:rsidRPr="009B0991" w:rsidRDefault="008704A0" w:rsidP="009B0991">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Arial" w:eastAsia="Times New Roman" w:hAnsi="Arial" w:cs="Arial"/>
          <w:color w:val="3E3E3F"/>
          <w:sz w:val="23"/>
          <w:szCs w:val="23"/>
          <w:lang w:eastAsia="fr-FR"/>
        </w:rPr>
      </w:pPr>
      <w:hyperlink r:id="rId9" w:tgtFrame="_blank" w:history="1">
        <w:r w:rsidR="009B0991" w:rsidRPr="009B0991">
          <w:rPr>
            <w:rFonts w:ascii="Arial" w:eastAsia="Times New Roman" w:hAnsi="Arial" w:cs="Arial"/>
            <w:i/>
            <w:iCs/>
            <w:color w:val="10AA99"/>
            <w:sz w:val="23"/>
            <w:szCs w:val="23"/>
            <w:u w:val="single"/>
            <w:lang w:eastAsia="fr-FR"/>
          </w:rPr>
          <w:t>Les risques liés aux atteintes à l’environnement</w:t>
        </w:r>
      </w:hyperlink>
      <w:r w:rsidR="009B0991" w:rsidRPr="009B0991">
        <w:rPr>
          <w:rFonts w:ascii="Arial" w:eastAsia="Times New Roman" w:hAnsi="Arial" w:cs="Arial"/>
          <w:i/>
          <w:iCs/>
          <w:color w:val="3E3E3F"/>
          <w:sz w:val="23"/>
          <w:szCs w:val="23"/>
          <w:lang w:eastAsia="fr-FR"/>
        </w:rPr>
        <w:t> : d’origine naturelle (avalanche, inondation, tempête, tremblement de terre…) ou « anthropique », c’est-à-dire générés par l’activité humaine (explosion de site chimique, nuage de produit toxique, marée noire, accident nucléaire, pollutions des sols…).</w:t>
      </w:r>
    </w:p>
    <w:p w14:paraId="00507286" w14:textId="77777777" w:rsidR="009B0991" w:rsidRPr="009B0991" w:rsidRDefault="008704A0" w:rsidP="009B0991">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Arial" w:eastAsia="Times New Roman" w:hAnsi="Arial" w:cs="Arial"/>
          <w:color w:val="3E3E3F"/>
          <w:sz w:val="23"/>
          <w:szCs w:val="23"/>
          <w:lang w:eastAsia="fr-FR"/>
        </w:rPr>
      </w:pPr>
      <w:hyperlink r:id="rId10" w:tgtFrame="_blank" w:history="1">
        <w:r w:rsidR="009B0991" w:rsidRPr="009B0991">
          <w:rPr>
            <w:rFonts w:ascii="Arial" w:eastAsia="Times New Roman" w:hAnsi="Arial" w:cs="Arial"/>
            <w:i/>
            <w:iCs/>
            <w:color w:val="10AA99"/>
            <w:sz w:val="23"/>
            <w:szCs w:val="23"/>
            <w:u w:val="single"/>
            <w:lang w:eastAsia="fr-FR"/>
          </w:rPr>
          <w:t>Les risques sanitaires</w:t>
        </w:r>
      </w:hyperlink>
      <w:r w:rsidR="009B0991" w:rsidRPr="009B0991">
        <w:rPr>
          <w:rFonts w:ascii="Arial" w:eastAsia="Times New Roman" w:hAnsi="Arial" w:cs="Arial"/>
          <w:i/>
          <w:iCs/>
          <w:color w:val="3E3E3F"/>
          <w:sz w:val="23"/>
          <w:szCs w:val="23"/>
          <w:lang w:eastAsia="fr-FR"/>
        </w:rPr>
        <w:t> : addictions, maladies infectieuses et épidémies, insalubrité, contamination alimentaire, accidents de la vie courante, maladies liées à la pollution de l’environnement…</w:t>
      </w:r>
    </w:p>
    <w:p w14:paraId="294639A6" w14:textId="697A6833" w:rsidR="009B0991" w:rsidRPr="009B0991" w:rsidRDefault="008704A0" w:rsidP="009B0991">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Arial" w:eastAsia="Times New Roman" w:hAnsi="Arial" w:cs="Arial"/>
          <w:color w:val="3E3E3F"/>
          <w:sz w:val="23"/>
          <w:szCs w:val="23"/>
          <w:lang w:eastAsia="fr-FR"/>
        </w:rPr>
      </w:pPr>
      <w:hyperlink r:id="rId11" w:tgtFrame="_blank" w:history="1">
        <w:r w:rsidR="009B0991" w:rsidRPr="009B0991">
          <w:rPr>
            <w:rFonts w:ascii="Arial" w:eastAsia="Times New Roman" w:hAnsi="Arial" w:cs="Arial"/>
            <w:i/>
            <w:iCs/>
            <w:color w:val="10AA99"/>
            <w:sz w:val="23"/>
            <w:szCs w:val="23"/>
            <w:u w:val="single"/>
            <w:lang w:eastAsia="fr-FR"/>
          </w:rPr>
          <w:t>Les risques de trouble à l’ordre public</w:t>
        </w:r>
      </w:hyperlink>
      <w:r w:rsidR="009B0991" w:rsidRPr="009B0991">
        <w:rPr>
          <w:rFonts w:ascii="Arial" w:eastAsia="Times New Roman" w:hAnsi="Arial" w:cs="Arial"/>
          <w:i/>
          <w:iCs/>
          <w:color w:val="3E3E3F"/>
          <w:sz w:val="23"/>
          <w:szCs w:val="23"/>
          <w:lang w:eastAsia="fr-FR"/>
        </w:rPr>
        <w:t> : incivilités, émeutes, terrorisme, criminalité, cyberattaques…</w:t>
      </w:r>
    </w:p>
    <w:p w14:paraId="6A240577" w14:textId="17FC6BFC" w:rsidR="009C04BC" w:rsidRDefault="009C04BC">
      <w:r>
        <w:rPr>
          <w:noProof/>
        </w:rPr>
        <mc:AlternateContent>
          <mc:Choice Requires="wps">
            <w:drawing>
              <wp:anchor distT="0" distB="0" distL="114300" distR="114300" simplePos="0" relativeHeight="251659264" behindDoc="0" locked="0" layoutInCell="1" allowOverlap="1" wp14:anchorId="6F47A6CB" wp14:editId="648CF8EE">
                <wp:simplePos x="0" y="0"/>
                <wp:positionH relativeFrom="column">
                  <wp:posOffset>1858421</wp:posOffset>
                </wp:positionH>
                <wp:positionV relativeFrom="paragraph">
                  <wp:posOffset>215788</wp:posOffset>
                </wp:positionV>
                <wp:extent cx="1650210" cy="1172415"/>
                <wp:effectExtent l="95250" t="209550" r="64770" b="218440"/>
                <wp:wrapNone/>
                <wp:docPr id="1" name="Zone de texte 1"/>
                <wp:cNvGraphicFramePr/>
                <a:graphic xmlns:a="http://schemas.openxmlformats.org/drawingml/2006/main">
                  <a:graphicData uri="http://schemas.microsoft.com/office/word/2010/wordprocessingShape">
                    <wps:wsp>
                      <wps:cNvSpPr txBox="1"/>
                      <wps:spPr>
                        <a:xfrm rot="20414380">
                          <a:off x="0" y="0"/>
                          <a:ext cx="1650210" cy="1172415"/>
                        </a:xfrm>
                        <a:prstGeom prst="rect">
                          <a:avLst/>
                        </a:prstGeom>
                        <a:noFill/>
                        <a:ln>
                          <a:noFill/>
                        </a:ln>
                      </wps:spPr>
                      <wps:txbx>
                        <w:txbxContent>
                          <w:p w14:paraId="2A942B79" w14:textId="0F36B854" w:rsidR="005552E1" w:rsidRPr="005552E1" w:rsidRDefault="005552E1" w:rsidP="005552E1">
                            <w:pPr>
                              <w:shd w:val="clear" w:color="auto" w:fill="FFFFFF"/>
                              <w:spacing w:after="450" w:line="240" w:lineRule="auto"/>
                              <w:jc w:val="center"/>
                              <w:rPr>
                                <w:rFonts w:ascii="Arial" w:eastAsia="Times New Roman"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eastAsia="Times New Roman"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 savoir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7A6CB" id="_x0000_t202" coordsize="21600,21600" o:spt="202" path="m,l,21600r21600,l21600,xe">
                <v:stroke joinstyle="miter"/>
                <v:path gradientshapeok="t" o:connecttype="rect"/>
              </v:shapetype>
              <v:shape id="Zone de texte 1" o:spid="_x0000_s1026" type="#_x0000_t202" style="position:absolute;margin-left:146.35pt;margin-top:17pt;width:129.95pt;height:92.3pt;rotation:-12950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AYMwIAAF0EAAAOAAAAZHJzL2Uyb0RvYy54bWysVE1v2zAMvQ/YfxB0X/yxpO2MOEXWIsOA&#10;oC2QDgV2U2QpNmCJmqTEzn79KNlJs26nYReDIh+e+B4pz2971ZKDsK4BXdJsklIiNIeq0buSfnte&#10;fbihxHmmK9aCFiU9CkdvF+/fzTtTiBxqaCthCZJoV3SmpLX3pkgSx2uhmJuAERqLEqxiHo92l1SW&#10;dciu2iRP06ukA1sZC1w4h9n7oUgXkV9Kwf2jlE540pYUe/Pxa+N3G77JYs6KnWWmbvjYBvuHLhRr&#10;NF56prpnnpG9bf6gUg234ED6CQeVgJQNF1EDqsnSN2o2NTMiakFznDnb5P4fLX84PFnSVDg7SjRT&#10;OKLvOChSCeJF7wXJgkWdcQUiNwaxvv8MfYCPeYfJoLyXVhEL6HCeTrPpx5s0GoISCcLR++PZbyQm&#10;PHBczdI8wxLHWpZd59NsFmiTgS2wGuv8FwGKhKCkFgcaadlh7fwAPUECXMOqaVvMs6LVvyWQM2SS&#10;IGVoOUS+3/ajji1UR5QXFWBLzvBVg3eumfNPzOJSYBIX3T/iR7bQlRTGiJIa7M+/5QMeZ4VVSjpc&#10;spK6H3tmBSXtV41T/JRNp0jr42E6u87xYC8r28uK3qs7wD3GSWF3MQx4355CaUG94HtYhluxxDTH&#10;u0vqT+GdH1Yf3xMXy2UE4R4a5td6Y3igPpn+3L8wa0bbwyo8wGkdWfHG/QE72L3ce5BNHE0weHB1&#10;9B13OA53fG/hkVyeI+r1r7D4BQAA//8DAFBLAwQUAAYACAAAACEAfRvzbd8AAAAKAQAADwAAAGRy&#10;cy9kb3ducmV2LnhtbEyPQU+DQBCF7yb+h82YeLMLaGlFlsaQ1IsXxSZ6nMIKVHZ2w24B/73jSY+T&#10;9+XN9/LdYgYx6dH3lhTEqwiEpto2PbUKDm/7my0IH5AaHCxpBd/aw664vMgxa+xMr3qqQiu4hHyG&#10;CroQXCalrztt0K+s08TZpx0NBj7HVjYjzlxuBplEUSoN9sQfOnS67HT9VZ2NAtxjNZ3cqYyddx/l&#10;4f355WneKHV9tTw+gAh6CX8w/OqzOhTsdLRnarwYFCT3yYZRBbd3vImB9TpJQRw5ibcpyCKX/ycU&#10;PwAAAP//AwBQSwECLQAUAAYACAAAACEAtoM4kv4AAADhAQAAEwAAAAAAAAAAAAAAAAAAAAAAW0Nv&#10;bnRlbnRfVHlwZXNdLnhtbFBLAQItABQABgAIAAAAIQA4/SH/1gAAAJQBAAALAAAAAAAAAAAAAAAA&#10;AC8BAABfcmVscy8ucmVsc1BLAQItABQABgAIAAAAIQAqr6AYMwIAAF0EAAAOAAAAAAAAAAAAAAAA&#10;AC4CAABkcnMvZTJvRG9jLnhtbFBLAQItABQABgAIAAAAIQB9G/Nt3wAAAAoBAAAPAAAAAAAAAAAA&#10;AAAAAI0EAABkcnMvZG93bnJldi54bWxQSwUGAAAAAAQABADzAAAAmQUAAAAA&#10;" filled="f" stroked="f">
                <v:textbox>
                  <w:txbxContent>
                    <w:p w14:paraId="2A942B79" w14:textId="0F36B854" w:rsidR="005552E1" w:rsidRPr="005552E1" w:rsidRDefault="005552E1" w:rsidP="005552E1">
                      <w:pPr>
                        <w:shd w:val="clear" w:color="auto" w:fill="FFFFFF"/>
                        <w:spacing w:after="450" w:line="240" w:lineRule="auto"/>
                        <w:jc w:val="center"/>
                        <w:rPr>
                          <w:rFonts w:ascii="Arial" w:eastAsia="Times New Roman"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eastAsia="Times New Roman"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 savoir</w:t>
                      </w:r>
                    </w:p>
                  </w:txbxContent>
                </v:textbox>
              </v:shape>
            </w:pict>
          </mc:Fallback>
        </mc:AlternateContent>
      </w:r>
      <w:r>
        <w:br w:type="page"/>
      </w:r>
    </w:p>
    <w:p w14:paraId="061E6D47" w14:textId="1D8B6B6A" w:rsidR="009B0991" w:rsidRDefault="00AF4F60">
      <w:r>
        <w:lastRenderedPageBreak/>
        <w:t xml:space="preserve">Et si on déroule le </w:t>
      </w:r>
      <w:proofErr w:type="gramStart"/>
      <w:r>
        <w:t>listing</w:t>
      </w:r>
      <w:proofErr w:type="gramEnd"/>
      <w:r>
        <w:t xml:space="preserve"> des risques étudiés par l’</w:t>
      </w:r>
      <w:proofErr w:type="spellStart"/>
      <w:r>
        <w:t>Ineris</w:t>
      </w:r>
      <w:proofErr w:type="spellEnd"/>
      <w:r>
        <w:t> :</w:t>
      </w:r>
    </w:p>
    <w:p w14:paraId="485A3C9B" w14:textId="48D3DD9A" w:rsidR="009C04BC" w:rsidRDefault="009C04BC"/>
    <w:p w14:paraId="02E927E1" w14:textId="77777777" w:rsidR="009C04BC" w:rsidRDefault="009C04BC"/>
    <w:p w14:paraId="5852E1BB" w14:textId="4746C1D5" w:rsidR="009B0991" w:rsidRDefault="009C04BC">
      <w:r>
        <w:rPr>
          <w:noProof/>
        </w:rPr>
        <w:drawing>
          <wp:inline distT="0" distB="0" distL="0" distR="0" wp14:anchorId="0086D7CF" wp14:editId="1C3C5046">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p>
    <w:p w14:paraId="3A6FF5C9" w14:textId="02FEDFC2" w:rsidR="009C04BC" w:rsidRDefault="009C04BC"/>
    <w:p w14:paraId="06DAC1FD" w14:textId="77777777" w:rsidR="009C04BC" w:rsidRDefault="009C04BC"/>
    <w:sectPr w:rsidR="009C04B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8AAD" w14:textId="77777777" w:rsidR="008704A0" w:rsidRDefault="008704A0" w:rsidP="0001490D">
      <w:pPr>
        <w:spacing w:after="0" w:line="240" w:lineRule="auto"/>
      </w:pPr>
      <w:r>
        <w:separator/>
      </w:r>
    </w:p>
  </w:endnote>
  <w:endnote w:type="continuationSeparator" w:id="0">
    <w:p w14:paraId="6B6DB6C3" w14:textId="77777777" w:rsidR="008704A0" w:rsidRDefault="008704A0" w:rsidP="0001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D6BC" w14:textId="09F8C359" w:rsidR="005552E1" w:rsidRPr="00625354" w:rsidRDefault="00AF4F60" w:rsidP="005552E1">
    <w:pPr>
      <w:pStyle w:val="Pieddepage"/>
      <w:rPr>
        <w:sz w:val="16"/>
        <w:szCs w:val="16"/>
      </w:rPr>
    </w:pPr>
    <w:proofErr w:type="spellStart"/>
    <w:r w:rsidRPr="00625354">
      <w:rPr>
        <w:sz w:val="16"/>
        <w:szCs w:val="16"/>
      </w:rPr>
      <w:t>Ineris</w:t>
    </w:r>
    <w:proofErr w:type="spellEnd"/>
    <w:r w:rsidRPr="00625354">
      <w:rPr>
        <w:sz w:val="16"/>
        <w:szCs w:val="16"/>
      </w:rPr>
      <w:tab/>
    </w:r>
    <w:r w:rsidR="005552E1" w:rsidRPr="00625354">
      <w:rPr>
        <w:sz w:val="16"/>
        <w:szCs w:val="16"/>
      </w:rPr>
      <w:t xml:space="preserve"> </w:t>
    </w:r>
    <w:hyperlink r:id="rId1" w:history="1">
      <w:r w:rsidR="005552E1" w:rsidRPr="00625354">
        <w:rPr>
          <w:rStyle w:val="Lienhypertexte"/>
          <w:sz w:val="16"/>
          <w:szCs w:val="16"/>
        </w:rPr>
        <w:t>www.ineris.fr</w:t>
      </w:r>
    </w:hyperlink>
    <w:r w:rsidR="005552E1" w:rsidRPr="00625354">
      <w:rPr>
        <w:sz w:val="16"/>
        <w:szCs w:val="16"/>
      </w:rPr>
      <w:tab/>
      <w:t>page [</w:t>
    </w:r>
    <w:r w:rsidR="005552E1" w:rsidRPr="00625354">
      <w:rPr>
        <w:sz w:val="16"/>
        <w:szCs w:val="16"/>
      </w:rPr>
      <w:fldChar w:fldCharType="begin"/>
    </w:r>
    <w:r w:rsidR="005552E1" w:rsidRPr="00625354">
      <w:rPr>
        <w:sz w:val="16"/>
        <w:szCs w:val="16"/>
      </w:rPr>
      <w:instrText>PAGE   \* MERGEFORMAT</w:instrText>
    </w:r>
    <w:r w:rsidR="005552E1" w:rsidRPr="00625354">
      <w:rPr>
        <w:sz w:val="16"/>
        <w:szCs w:val="16"/>
      </w:rPr>
      <w:fldChar w:fldCharType="separate"/>
    </w:r>
    <w:r w:rsidR="005552E1" w:rsidRPr="00625354">
      <w:rPr>
        <w:sz w:val="16"/>
        <w:szCs w:val="16"/>
      </w:rPr>
      <w:t>1</w:t>
    </w:r>
    <w:r w:rsidR="005552E1" w:rsidRPr="00625354">
      <w:rPr>
        <w:sz w:val="16"/>
        <w:szCs w:val="16"/>
      </w:rPr>
      <w:fldChar w:fldCharType="end"/>
    </w:r>
    <w:r w:rsidR="005552E1" w:rsidRPr="00625354">
      <w:rPr>
        <w:sz w:val="16"/>
        <w:szCs w:val="16"/>
      </w:rPr>
      <w:t>]</w:t>
    </w:r>
  </w:p>
  <w:p w14:paraId="276AE05C" w14:textId="68E5FC04" w:rsidR="00AF4F60" w:rsidRPr="00625354" w:rsidRDefault="00B4430D" w:rsidP="00B4430D">
    <w:pPr>
      <w:pStyle w:val="Pieddepage"/>
      <w:jc w:val="center"/>
      <w:rPr>
        <w:sz w:val="16"/>
        <w:szCs w:val="16"/>
      </w:rPr>
    </w:pPr>
    <w:r w:rsidRPr="00B4430D">
      <w:rPr>
        <w:sz w:val="16"/>
        <w:szCs w:val="16"/>
      </w:rPr>
      <w:t>L'</w:t>
    </w:r>
    <w:proofErr w:type="spellStart"/>
    <w:r w:rsidRPr="00B4430D">
      <w:rPr>
        <w:sz w:val="16"/>
        <w:szCs w:val="16"/>
      </w:rPr>
      <w:t>Ineris</w:t>
    </w:r>
    <w:proofErr w:type="spellEnd"/>
    <w:r w:rsidRPr="00B4430D">
      <w:rPr>
        <w:sz w:val="16"/>
        <w:szCs w:val="16"/>
      </w:rPr>
      <w:t>, l'expert public pour la maîtrise des risques industriels et environnementaux</w:t>
    </w:r>
  </w:p>
  <w:p w14:paraId="4170B394" w14:textId="77777777" w:rsidR="0001490D" w:rsidRDefault="000149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5141" w14:textId="77777777" w:rsidR="008704A0" w:rsidRDefault="008704A0" w:rsidP="0001490D">
      <w:pPr>
        <w:spacing w:after="0" w:line="240" w:lineRule="auto"/>
      </w:pPr>
      <w:r>
        <w:separator/>
      </w:r>
    </w:p>
  </w:footnote>
  <w:footnote w:type="continuationSeparator" w:id="0">
    <w:p w14:paraId="3B79C0A5" w14:textId="77777777" w:rsidR="008704A0" w:rsidRDefault="008704A0" w:rsidP="0001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ED9D" w14:textId="2FD08105" w:rsidR="00625354" w:rsidRPr="00625354" w:rsidRDefault="00625354" w:rsidP="00625354">
    <w:pPr>
      <w:pStyle w:val="En-tte"/>
      <w:jc w:val="center"/>
      <w:rPr>
        <w:sz w:val="16"/>
        <w:szCs w:val="16"/>
      </w:rPr>
    </w:pPr>
    <w:r w:rsidRPr="00625354">
      <w:rPr>
        <w:sz w:val="16"/>
        <w:szCs w:val="16"/>
      </w:rPr>
      <w:t>Sécurité santé au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D0A67"/>
    <w:multiLevelType w:val="multilevel"/>
    <w:tmpl w:val="AB0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91"/>
    <w:rsid w:val="0001490D"/>
    <w:rsid w:val="005054EE"/>
    <w:rsid w:val="005552E1"/>
    <w:rsid w:val="00625354"/>
    <w:rsid w:val="008704A0"/>
    <w:rsid w:val="009867FB"/>
    <w:rsid w:val="009B0991"/>
    <w:rsid w:val="009C04BC"/>
    <w:rsid w:val="00AA36BC"/>
    <w:rsid w:val="00AF4F60"/>
    <w:rsid w:val="00B44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C945"/>
  <w15:chartTrackingRefBased/>
  <w15:docId w15:val="{CA575F17-184C-49D8-AAE3-73527B86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490D"/>
    <w:pPr>
      <w:tabs>
        <w:tab w:val="center" w:pos="4536"/>
        <w:tab w:val="right" w:pos="9072"/>
      </w:tabs>
      <w:spacing w:after="0" w:line="240" w:lineRule="auto"/>
    </w:pPr>
  </w:style>
  <w:style w:type="character" w:customStyle="1" w:styleId="En-tteCar">
    <w:name w:val="En-tête Car"/>
    <w:basedOn w:val="Policepardfaut"/>
    <w:link w:val="En-tte"/>
    <w:uiPriority w:val="99"/>
    <w:rsid w:val="0001490D"/>
  </w:style>
  <w:style w:type="paragraph" w:styleId="Pieddepage">
    <w:name w:val="footer"/>
    <w:basedOn w:val="Normal"/>
    <w:link w:val="PieddepageCar"/>
    <w:uiPriority w:val="99"/>
    <w:unhideWhenUsed/>
    <w:rsid w:val="00014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0D"/>
  </w:style>
  <w:style w:type="character" w:styleId="Lienhypertexte">
    <w:name w:val="Hyperlink"/>
    <w:basedOn w:val="Policepardfaut"/>
    <w:uiPriority w:val="99"/>
    <w:semiHidden/>
    <w:unhideWhenUsed/>
    <w:rsid w:val="00555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858">
      <w:bodyDiv w:val="1"/>
      <w:marLeft w:val="0"/>
      <w:marRight w:val="0"/>
      <w:marTop w:val="0"/>
      <w:marBottom w:val="0"/>
      <w:divBdr>
        <w:top w:val="none" w:sz="0" w:space="0" w:color="auto"/>
        <w:left w:val="none" w:sz="0" w:space="0" w:color="auto"/>
        <w:bottom w:val="none" w:sz="0" w:space="0" w:color="auto"/>
        <w:right w:val="none" w:sz="0" w:space="0" w:color="auto"/>
      </w:divBdr>
    </w:div>
    <w:div w:id="214976389">
      <w:bodyDiv w:val="1"/>
      <w:marLeft w:val="0"/>
      <w:marRight w:val="0"/>
      <w:marTop w:val="0"/>
      <w:marBottom w:val="0"/>
      <w:divBdr>
        <w:top w:val="none" w:sz="0" w:space="0" w:color="auto"/>
        <w:left w:val="none" w:sz="0" w:space="0" w:color="auto"/>
        <w:bottom w:val="none" w:sz="0" w:space="0" w:color="auto"/>
        <w:right w:val="none" w:sz="0" w:space="0" w:color="auto"/>
      </w:divBdr>
      <w:divsChild>
        <w:div w:id="56589134">
          <w:marLeft w:val="0"/>
          <w:marRight w:val="0"/>
          <w:marTop w:val="0"/>
          <w:marBottom w:val="0"/>
          <w:divBdr>
            <w:top w:val="none" w:sz="0" w:space="0" w:color="auto"/>
            <w:left w:val="none" w:sz="0" w:space="0" w:color="auto"/>
            <w:bottom w:val="none" w:sz="0" w:space="0" w:color="auto"/>
            <w:right w:val="none" w:sz="0" w:space="0" w:color="auto"/>
          </w:divBdr>
        </w:div>
      </w:divsChild>
    </w:div>
    <w:div w:id="1052734847">
      <w:bodyDiv w:val="1"/>
      <w:marLeft w:val="0"/>
      <w:marRight w:val="0"/>
      <w:marTop w:val="0"/>
      <w:marBottom w:val="0"/>
      <w:divBdr>
        <w:top w:val="none" w:sz="0" w:space="0" w:color="auto"/>
        <w:left w:val="none" w:sz="0" w:space="0" w:color="auto"/>
        <w:bottom w:val="none" w:sz="0" w:space="0" w:color="auto"/>
        <w:right w:val="none" w:sz="0" w:space="0" w:color="auto"/>
      </w:divBdr>
    </w:div>
    <w:div w:id="1975795180">
      <w:bodyDiv w:val="1"/>
      <w:marLeft w:val="0"/>
      <w:marRight w:val="0"/>
      <w:marTop w:val="0"/>
      <w:marBottom w:val="0"/>
      <w:divBdr>
        <w:top w:val="none" w:sz="0" w:space="0" w:color="auto"/>
        <w:left w:val="none" w:sz="0" w:space="0" w:color="auto"/>
        <w:bottom w:val="none" w:sz="0" w:space="0" w:color="auto"/>
        <w:right w:val="none" w:sz="0" w:space="0" w:color="auto"/>
      </w:divBdr>
      <w:divsChild>
        <w:div w:id="1673414844">
          <w:marLeft w:val="0"/>
          <w:marRight w:val="0"/>
          <w:marTop w:val="0"/>
          <w:marBottom w:val="0"/>
          <w:divBdr>
            <w:top w:val="none" w:sz="0" w:space="0" w:color="auto"/>
            <w:left w:val="none" w:sz="0" w:space="0" w:color="auto"/>
            <w:bottom w:val="none" w:sz="0" w:space="0" w:color="auto"/>
            <w:right w:val="none" w:sz="0" w:space="0" w:color="auto"/>
          </w:divBdr>
          <w:divsChild>
            <w:div w:id="1892231073">
              <w:marLeft w:val="0"/>
              <w:marRight w:val="0"/>
              <w:marTop w:val="0"/>
              <w:marBottom w:val="0"/>
              <w:divBdr>
                <w:top w:val="none" w:sz="0" w:space="0" w:color="auto"/>
                <w:left w:val="none" w:sz="0" w:space="0" w:color="auto"/>
                <w:bottom w:val="none" w:sz="0" w:space="0" w:color="auto"/>
                <w:right w:val="none" w:sz="0" w:space="0" w:color="auto"/>
              </w:divBdr>
              <w:divsChild>
                <w:div w:id="1210217493">
                  <w:marLeft w:val="0"/>
                  <w:marRight w:val="0"/>
                  <w:marTop w:val="0"/>
                  <w:marBottom w:val="0"/>
                  <w:divBdr>
                    <w:top w:val="none" w:sz="0" w:space="0" w:color="auto"/>
                    <w:left w:val="none" w:sz="0" w:space="0" w:color="auto"/>
                    <w:bottom w:val="none" w:sz="0" w:space="0" w:color="auto"/>
                    <w:right w:val="none" w:sz="0" w:space="0" w:color="auto"/>
                  </w:divBdr>
                </w:div>
              </w:divsChild>
            </w:div>
            <w:div w:id="2010868613">
              <w:marLeft w:val="0"/>
              <w:marRight w:val="0"/>
              <w:marTop w:val="0"/>
              <w:marBottom w:val="0"/>
              <w:divBdr>
                <w:top w:val="none" w:sz="0" w:space="0" w:color="auto"/>
                <w:left w:val="none" w:sz="0" w:space="0" w:color="auto"/>
                <w:bottom w:val="none" w:sz="0" w:space="0" w:color="auto"/>
                <w:right w:val="none" w:sz="0" w:space="0" w:color="auto"/>
              </w:divBdr>
              <w:divsChild>
                <w:div w:id="784619032">
                  <w:marLeft w:val="0"/>
                  <w:marRight w:val="0"/>
                  <w:marTop w:val="0"/>
                  <w:marBottom w:val="0"/>
                  <w:divBdr>
                    <w:top w:val="none" w:sz="0" w:space="0" w:color="auto"/>
                    <w:left w:val="none" w:sz="0" w:space="0" w:color="auto"/>
                    <w:bottom w:val="none" w:sz="0" w:space="0" w:color="auto"/>
                    <w:right w:val="none" w:sz="0" w:space="0" w:color="auto"/>
                  </w:divBdr>
                  <w:divsChild>
                    <w:div w:id="339235874">
                      <w:marLeft w:val="0"/>
                      <w:marRight w:val="0"/>
                      <w:marTop w:val="0"/>
                      <w:marBottom w:val="0"/>
                      <w:divBdr>
                        <w:top w:val="none" w:sz="0" w:space="0" w:color="auto"/>
                        <w:left w:val="none" w:sz="0" w:space="0" w:color="auto"/>
                        <w:bottom w:val="none" w:sz="0" w:space="0" w:color="auto"/>
                        <w:right w:val="none" w:sz="0" w:space="0" w:color="auto"/>
                      </w:divBdr>
                      <w:divsChild>
                        <w:div w:id="13882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669">
                  <w:marLeft w:val="0"/>
                  <w:marRight w:val="0"/>
                  <w:marTop w:val="0"/>
                  <w:marBottom w:val="0"/>
                  <w:divBdr>
                    <w:top w:val="none" w:sz="0" w:space="0" w:color="auto"/>
                    <w:left w:val="none" w:sz="0" w:space="0" w:color="auto"/>
                    <w:bottom w:val="none" w:sz="0" w:space="0" w:color="auto"/>
                    <w:right w:val="none" w:sz="0" w:space="0" w:color="auto"/>
                  </w:divBdr>
                  <w:divsChild>
                    <w:div w:id="1471635241">
                      <w:marLeft w:val="0"/>
                      <w:marRight w:val="0"/>
                      <w:marTop w:val="0"/>
                      <w:marBottom w:val="0"/>
                      <w:divBdr>
                        <w:top w:val="none" w:sz="0" w:space="0" w:color="auto"/>
                        <w:left w:val="none" w:sz="0" w:space="0" w:color="auto"/>
                        <w:bottom w:val="none" w:sz="0" w:space="0" w:color="auto"/>
                        <w:right w:val="none" w:sz="0" w:space="0" w:color="auto"/>
                      </w:divBdr>
                      <w:divsChild>
                        <w:div w:id="1964072163">
                          <w:marLeft w:val="0"/>
                          <w:marRight w:val="0"/>
                          <w:marTop w:val="0"/>
                          <w:marBottom w:val="0"/>
                          <w:divBdr>
                            <w:top w:val="none" w:sz="0" w:space="0" w:color="auto"/>
                            <w:left w:val="none" w:sz="0" w:space="0" w:color="auto"/>
                            <w:bottom w:val="none" w:sz="0" w:space="0" w:color="auto"/>
                            <w:right w:val="none" w:sz="0" w:space="0" w:color="auto"/>
                          </w:divBdr>
                        </w:div>
                        <w:div w:id="3563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4408">
                  <w:marLeft w:val="0"/>
                  <w:marRight w:val="0"/>
                  <w:marTop w:val="0"/>
                  <w:marBottom w:val="0"/>
                  <w:divBdr>
                    <w:top w:val="none" w:sz="0" w:space="0" w:color="auto"/>
                    <w:left w:val="none" w:sz="0" w:space="0" w:color="auto"/>
                    <w:bottom w:val="none" w:sz="0" w:space="0" w:color="auto"/>
                    <w:right w:val="none" w:sz="0" w:space="0" w:color="auto"/>
                  </w:divBdr>
                  <w:divsChild>
                    <w:div w:id="787047160">
                      <w:marLeft w:val="0"/>
                      <w:marRight w:val="0"/>
                      <w:marTop w:val="0"/>
                      <w:marBottom w:val="0"/>
                      <w:divBdr>
                        <w:top w:val="none" w:sz="0" w:space="0" w:color="auto"/>
                        <w:left w:val="none" w:sz="0" w:space="0" w:color="auto"/>
                        <w:bottom w:val="none" w:sz="0" w:space="0" w:color="auto"/>
                        <w:right w:val="none" w:sz="0" w:space="0" w:color="auto"/>
                      </w:divBdr>
                    </w:div>
                  </w:divsChild>
                </w:div>
                <w:div w:id="727147421">
                  <w:marLeft w:val="0"/>
                  <w:marRight w:val="0"/>
                  <w:marTop w:val="0"/>
                  <w:marBottom w:val="0"/>
                  <w:divBdr>
                    <w:top w:val="none" w:sz="0" w:space="0" w:color="auto"/>
                    <w:left w:val="none" w:sz="0" w:space="0" w:color="auto"/>
                    <w:bottom w:val="none" w:sz="0" w:space="0" w:color="auto"/>
                    <w:right w:val="none" w:sz="0" w:space="0" w:color="auto"/>
                  </w:divBdr>
                  <w:divsChild>
                    <w:div w:id="424040298">
                      <w:marLeft w:val="0"/>
                      <w:marRight w:val="0"/>
                      <w:marTop w:val="0"/>
                      <w:marBottom w:val="0"/>
                      <w:divBdr>
                        <w:top w:val="none" w:sz="0" w:space="0" w:color="auto"/>
                        <w:left w:val="none" w:sz="0" w:space="0" w:color="auto"/>
                        <w:bottom w:val="none" w:sz="0" w:space="0" w:color="auto"/>
                        <w:right w:val="none" w:sz="0" w:space="0" w:color="auto"/>
                      </w:divBdr>
                      <w:divsChild>
                        <w:div w:id="908001941">
                          <w:marLeft w:val="0"/>
                          <w:marRight w:val="0"/>
                          <w:marTop w:val="0"/>
                          <w:marBottom w:val="0"/>
                          <w:divBdr>
                            <w:top w:val="none" w:sz="0" w:space="0" w:color="auto"/>
                            <w:left w:val="none" w:sz="0" w:space="0" w:color="auto"/>
                            <w:bottom w:val="none" w:sz="0" w:space="0" w:color="auto"/>
                            <w:right w:val="none" w:sz="0" w:space="0" w:color="auto"/>
                          </w:divBdr>
                        </w:div>
                        <w:div w:id="1920016640">
                          <w:marLeft w:val="0"/>
                          <w:marRight w:val="0"/>
                          <w:marTop w:val="0"/>
                          <w:marBottom w:val="0"/>
                          <w:divBdr>
                            <w:top w:val="none" w:sz="0" w:space="0" w:color="auto"/>
                            <w:left w:val="none" w:sz="0" w:space="0" w:color="auto"/>
                            <w:bottom w:val="none" w:sz="0" w:space="0" w:color="auto"/>
                            <w:right w:val="none" w:sz="0" w:space="0" w:color="auto"/>
                          </w:divBdr>
                          <w:divsChild>
                            <w:div w:id="913859744">
                              <w:marLeft w:val="0"/>
                              <w:marRight w:val="0"/>
                              <w:marTop w:val="0"/>
                              <w:marBottom w:val="0"/>
                              <w:divBdr>
                                <w:top w:val="none" w:sz="0" w:space="0" w:color="auto"/>
                                <w:left w:val="none" w:sz="0" w:space="0" w:color="auto"/>
                                <w:bottom w:val="none" w:sz="0" w:space="0" w:color="auto"/>
                                <w:right w:val="none" w:sz="0" w:space="0" w:color="auto"/>
                              </w:divBdr>
                              <w:divsChild>
                                <w:div w:id="2093352154">
                                  <w:marLeft w:val="0"/>
                                  <w:marRight w:val="0"/>
                                  <w:marTop w:val="0"/>
                                  <w:marBottom w:val="0"/>
                                  <w:divBdr>
                                    <w:top w:val="none" w:sz="0" w:space="0" w:color="auto"/>
                                    <w:left w:val="none" w:sz="0" w:space="0" w:color="auto"/>
                                    <w:bottom w:val="none" w:sz="0" w:space="0" w:color="auto"/>
                                    <w:right w:val="none" w:sz="0" w:space="0" w:color="auto"/>
                                  </w:divBdr>
                                  <w:divsChild>
                                    <w:div w:id="5490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2310">
                  <w:marLeft w:val="0"/>
                  <w:marRight w:val="0"/>
                  <w:marTop w:val="0"/>
                  <w:marBottom w:val="0"/>
                  <w:divBdr>
                    <w:top w:val="none" w:sz="0" w:space="0" w:color="auto"/>
                    <w:left w:val="none" w:sz="0" w:space="0" w:color="auto"/>
                    <w:bottom w:val="none" w:sz="0" w:space="0" w:color="auto"/>
                    <w:right w:val="none" w:sz="0" w:space="0" w:color="auto"/>
                  </w:divBdr>
                  <w:divsChild>
                    <w:div w:id="639386341">
                      <w:marLeft w:val="0"/>
                      <w:marRight w:val="0"/>
                      <w:marTop w:val="0"/>
                      <w:marBottom w:val="0"/>
                      <w:divBdr>
                        <w:top w:val="none" w:sz="0" w:space="0" w:color="auto"/>
                        <w:left w:val="none" w:sz="0" w:space="0" w:color="auto"/>
                        <w:bottom w:val="none" w:sz="0" w:space="0" w:color="auto"/>
                        <w:right w:val="none" w:sz="0" w:space="0" w:color="auto"/>
                      </w:divBdr>
                    </w:div>
                  </w:divsChild>
                </w:div>
                <w:div w:id="2129739945">
                  <w:marLeft w:val="0"/>
                  <w:marRight w:val="0"/>
                  <w:marTop w:val="0"/>
                  <w:marBottom w:val="0"/>
                  <w:divBdr>
                    <w:top w:val="none" w:sz="0" w:space="0" w:color="auto"/>
                    <w:left w:val="none" w:sz="0" w:space="0" w:color="auto"/>
                    <w:bottom w:val="none" w:sz="0" w:space="0" w:color="auto"/>
                    <w:right w:val="none" w:sz="0" w:space="0" w:color="auto"/>
                  </w:divBdr>
                  <w:divsChild>
                    <w:div w:id="11760464">
                      <w:marLeft w:val="0"/>
                      <w:marRight w:val="0"/>
                      <w:marTop w:val="0"/>
                      <w:marBottom w:val="0"/>
                      <w:divBdr>
                        <w:top w:val="none" w:sz="0" w:space="0" w:color="auto"/>
                        <w:left w:val="none" w:sz="0" w:space="0" w:color="auto"/>
                        <w:bottom w:val="none" w:sz="0" w:space="0" w:color="auto"/>
                        <w:right w:val="none" w:sz="0" w:space="0" w:color="auto"/>
                      </w:divBdr>
                      <w:divsChild>
                        <w:div w:id="13203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845">
                  <w:marLeft w:val="0"/>
                  <w:marRight w:val="0"/>
                  <w:marTop w:val="0"/>
                  <w:marBottom w:val="0"/>
                  <w:divBdr>
                    <w:top w:val="none" w:sz="0" w:space="0" w:color="auto"/>
                    <w:left w:val="none" w:sz="0" w:space="0" w:color="auto"/>
                    <w:bottom w:val="none" w:sz="0" w:space="0" w:color="auto"/>
                    <w:right w:val="none" w:sz="0" w:space="0" w:color="auto"/>
                  </w:divBdr>
                  <w:divsChild>
                    <w:div w:id="2101829795">
                      <w:marLeft w:val="0"/>
                      <w:marRight w:val="0"/>
                      <w:marTop w:val="0"/>
                      <w:marBottom w:val="0"/>
                      <w:divBdr>
                        <w:top w:val="none" w:sz="0" w:space="0" w:color="auto"/>
                        <w:left w:val="none" w:sz="0" w:space="0" w:color="auto"/>
                        <w:bottom w:val="none" w:sz="0" w:space="0" w:color="auto"/>
                        <w:right w:val="none" w:sz="0" w:space="0" w:color="auto"/>
                      </w:divBdr>
                      <w:divsChild>
                        <w:div w:id="635330986">
                          <w:marLeft w:val="0"/>
                          <w:marRight w:val="0"/>
                          <w:marTop w:val="0"/>
                          <w:marBottom w:val="0"/>
                          <w:divBdr>
                            <w:top w:val="none" w:sz="0" w:space="0" w:color="auto"/>
                            <w:left w:val="none" w:sz="0" w:space="0" w:color="auto"/>
                            <w:bottom w:val="none" w:sz="0" w:space="0" w:color="auto"/>
                            <w:right w:val="none" w:sz="0" w:space="0" w:color="auto"/>
                          </w:divBdr>
                        </w:div>
                        <w:div w:id="16204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914">
                  <w:marLeft w:val="0"/>
                  <w:marRight w:val="0"/>
                  <w:marTop w:val="0"/>
                  <w:marBottom w:val="0"/>
                  <w:divBdr>
                    <w:top w:val="none" w:sz="0" w:space="0" w:color="auto"/>
                    <w:left w:val="none" w:sz="0" w:space="0" w:color="auto"/>
                    <w:bottom w:val="none" w:sz="0" w:space="0" w:color="auto"/>
                    <w:right w:val="none" w:sz="0" w:space="0" w:color="auto"/>
                  </w:divBdr>
                  <w:divsChild>
                    <w:div w:id="1321543552">
                      <w:marLeft w:val="0"/>
                      <w:marRight w:val="0"/>
                      <w:marTop w:val="0"/>
                      <w:marBottom w:val="0"/>
                      <w:divBdr>
                        <w:top w:val="none" w:sz="0" w:space="0" w:color="auto"/>
                        <w:left w:val="none" w:sz="0" w:space="0" w:color="auto"/>
                        <w:bottom w:val="none" w:sz="0" w:space="0" w:color="auto"/>
                        <w:right w:val="none" w:sz="0" w:space="0" w:color="auto"/>
                      </w:divBdr>
                    </w:div>
                  </w:divsChild>
                </w:div>
                <w:div w:id="1932198438">
                  <w:marLeft w:val="0"/>
                  <w:marRight w:val="0"/>
                  <w:marTop w:val="0"/>
                  <w:marBottom w:val="0"/>
                  <w:divBdr>
                    <w:top w:val="none" w:sz="0" w:space="0" w:color="auto"/>
                    <w:left w:val="none" w:sz="0" w:space="0" w:color="auto"/>
                    <w:bottom w:val="none" w:sz="0" w:space="0" w:color="auto"/>
                    <w:right w:val="none" w:sz="0" w:space="0" w:color="auto"/>
                  </w:divBdr>
                  <w:divsChild>
                    <w:div w:id="1719623983">
                      <w:marLeft w:val="0"/>
                      <w:marRight w:val="0"/>
                      <w:marTop w:val="0"/>
                      <w:marBottom w:val="0"/>
                      <w:divBdr>
                        <w:top w:val="none" w:sz="0" w:space="0" w:color="auto"/>
                        <w:left w:val="none" w:sz="0" w:space="0" w:color="auto"/>
                        <w:bottom w:val="none" w:sz="0" w:space="0" w:color="auto"/>
                        <w:right w:val="none" w:sz="0" w:space="0" w:color="auto"/>
                      </w:divBdr>
                      <w:divsChild>
                        <w:div w:id="11497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ail-emploi.gouv.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ieur.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lidarites-sante.gouv.fr/" TargetMode="External"/><Relationship Id="rId4" Type="http://schemas.openxmlformats.org/officeDocument/2006/relationships/webSettings" Target="webSettings.xml"/><Relationship Id="rId9" Type="http://schemas.openxmlformats.org/officeDocument/2006/relationships/hyperlink" Target="http://ecologique-solidaire.gouv.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10</cp:revision>
  <dcterms:created xsi:type="dcterms:W3CDTF">2019-11-17T15:50:00Z</dcterms:created>
  <dcterms:modified xsi:type="dcterms:W3CDTF">2020-11-15T14:05:00Z</dcterms:modified>
</cp:coreProperties>
</file>